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23" w:rsidRPr="0064468A" w:rsidRDefault="00142B23" w:rsidP="00847327">
      <w:pPr>
        <w:rPr>
          <w:rFonts w:ascii="Calibri" w:hAnsi="Calibri" w:cs="Calibri"/>
          <w:sz w:val="22"/>
          <w:szCs w:val="22"/>
        </w:rPr>
      </w:pPr>
    </w:p>
    <w:p w:rsidR="00142B23" w:rsidRPr="0064468A" w:rsidRDefault="00142B23" w:rsidP="00847327">
      <w:pPr>
        <w:rPr>
          <w:rFonts w:ascii="Calibri" w:hAnsi="Calibri" w:cs="Calibri"/>
          <w:sz w:val="22"/>
          <w:szCs w:val="22"/>
        </w:rPr>
      </w:pPr>
    </w:p>
    <w:p w:rsidR="00AD42EA" w:rsidRPr="00CF62C9" w:rsidRDefault="005144D5" w:rsidP="005144D5">
      <w:pPr>
        <w:pStyle w:val="AODocTxt"/>
        <w:numPr>
          <w:ilvl w:val="0"/>
          <w:numId w:val="0"/>
        </w:numPr>
        <w:spacing w:before="0" w:line="320" w:lineRule="atLeast"/>
        <w:ind w:right="1587"/>
        <w:jc w:val="left"/>
        <w:rPr>
          <w:rFonts w:ascii="Calibri" w:hAnsi="Calibri"/>
          <w:b/>
          <w:lang w:val="en-US"/>
        </w:rPr>
      </w:pPr>
      <w:r w:rsidRPr="00CF62C9">
        <w:rPr>
          <w:rFonts w:ascii="Calibri" w:hAnsi="Calibri"/>
          <w:lang w:val="en-US"/>
        </w:rPr>
        <w:t>European Commission</w:t>
      </w:r>
      <w:r w:rsidRPr="00CF62C9">
        <w:rPr>
          <w:rFonts w:ascii="Calibri" w:hAnsi="Calibri"/>
          <w:b/>
          <w:lang w:val="en-US"/>
        </w:rPr>
        <w:br/>
      </w:r>
      <w:r w:rsidRPr="00CF62C9">
        <w:rPr>
          <w:rFonts w:ascii="Calibri" w:hAnsi="Calibri"/>
          <w:lang w:val="en-US"/>
        </w:rPr>
        <w:t>Directorate General Internal Market and Services</w:t>
      </w:r>
      <w:r w:rsidRPr="00CF62C9">
        <w:rPr>
          <w:rFonts w:ascii="Calibri" w:hAnsi="Calibri"/>
          <w:b/>
          <w:lang w:val="en-US"/>
        </w:rPr>
        <w:br/>
      </w:r>
      <w:r w:rsidRPr="00CF62C9">
        <w:rPr>
          <w:rFonts w:ascii="Calibri" w:hAnsi="Calibri"/>
          <w:lang w:val="en-US"/>
        </w:rPr>
        <w:t>Financial Markets – Securities Markets</w:t>
      </w:r>
      <w:r w:rsidRPr="00CF62C9">
        <w:rPr>
          <w:rFonts w:ascii="Calibri" w:hAnsi="Calibri"/>
          <w:b/>
          <w:lang w:val="en-US"/>
        </w:rPr>
        <w:br/>
      </w:r>
    </w:p>
    <w:p w:rsidR="005144D5" w:rsidRPr="00CF62C9" w:rsidRDefault="005144D5" w:rsidP="005144D5">
      <w:pPr>
        <w:pStyle w:val="AODocTxt"/>
        <w:numPr>
          <w:ilvl w:val="0"/>
          <w:numId w:val="0"/>
        </w:numPr>
        <w:spacing w:before="0" w:line="320" w:lineRule="atLeast"/>
        <w:ind w:right="1587"/>
        <w:jc w:val="left"/>
        <w:rPr>
          <w:rFonts w:ascii="Calibri" w:hAnsi="Calibri"/>
          <w:b/>
          <w:lang w:val="en-US"/>
        </w:rPr>
      </w:pPr>
      <w:r w:rsidRPr="00CF62C9">
        <w:rPr>
          <w:rFonts w:ascii="Calibri" w:hAnsi="Calibri"/>
          <w:b/>
          <w:lang w:val="en-US"/>
        </w:rPr>
        <w:t>Consultation on the regulation of indices</w:t>
      </w:r>
    </w:p>
    <w:p w:rsidR="005144D5" w:rsidRPr="00CF62C9" w:rsidRDefault="005144D5" w:rsidP="005144D5">
      <w:pPr>
        <w:pStyle w:val="AODocTxt"/>
        <w:numPr>
          <w:ilvl w:val="0"/>
          <w:numId w:val="0"/>
        </w:numPr>
        <w:spacing w:before="0" w:line="200" w:lineRule="atLeast"/>
        <w:ind w:right="1588"/>
        <w:rPr>
          <w:rFonts w:ascii="Calibri" w:hAnsi="Calibri"/>
          <w:b/>
          <w:lang w:val="en-US"/>
        </w:rPr>
      </w:pPr>
      <w:r w:rsidRPr="00CF62C9">
        <w:rPr>
          <w:rFonts w:ascii="Calibri" w:hAnsi="Calibri"/>
          <w:b/>
          <w:lang w:val="en-US"/>
        </w:rPr>
        <w:t xml:space="preserve">Response </w:t>
      </w:r>
      <w:r w:rsidR="00CF62C9" w:rsidRPr="00CF62C9">
        <w:rPr>
          <w:rFonts w:ascii="Calibri" w:hAnsi="Calibri"/>
          <w:b/>
          <w:lang w:val="en-US"/>
        </w:rPr>
        <w:t>EUSIPA</w:t>
      </w:r>
    </w:p>
    <w:p w:rsidR="005144D5" w:rsidRDefault="005144D5" w:rsidP="005144D5">
      <w:pPr>
        <w:pStyle w:val="AODocTxt"/>
        <w:numPr>
          <w:ilvl w:val="0"/>
          <w:numId w:val="0"/>
        </w:numPr>
        <w:spacing w:before="0" w:line="200" w:lineRule="atLeast"/>
        <w:ind w:right="1588"/>
        <w:rPr>
          <w:rFonts w:ascii="Calibri" w:hAnsi="Calibri"/>
          <w:b/>
          <w:lang w:val="en-US"/>
        </w:rPr>
      </w:pPr>
    </w:p>
    <w:p w:rsidR="00A147A6" w:rsidRDefault="00A147A6" w:rsidP="005144D5">
      <w:pPr>
        <w:pStyle w:val="AODocTxt"/>
        <w:numPr>
          <w:ilvl w:val="0"/>
          <w:numId w:val="0"/>
        </w:numPr>
        <w:spacing w:before="0" w:line="200" w:lineRule="atLeast"/>
        <w:ind w:right="1588"/>
        <w:rPr>
          <w:rFonts w:ascii="Calibri" w:hAnsi="Calibri"/>
          <w:b/>
          <w:lang w:val="en-US"/>
        </w:rPr>
      </w:pPr>
      <w:r>
        <w:rPr>
          <w:rFonts w:ascii="Calibri" w:hAnsi="Calibri"/>
          <w:b/>
          <w:lang w:val="en-US"/>
        </w:rPr>
        <w:t>Brussels, 26 November 2012</w:t>
      </w:r>
    </w:p>
    <w:p w:rsidR="00A147A6" w:rsidRPr="00CF62C9" w:rsidRDefault="00A147A6" w:rsidP="005144D5">
      <w:pPr>
        <w:pStyle w:val="AODocTxt"/>
        <w:numPr>
          <w:ilvl w:val="0"/>
          <w:numId w:val="0"/>
        </w:numPr>
        <w:spacing w:before="0" w:line="200" w:lineRule="atLeast"/>
        <w:ind w:right="1588"/>
        <w:rPr>
          <w:rFonts w:ascii="Calibri" w:hAnsi="Calibri"/>
          <w:b/>
          <w:lang w:val="en-US"/>
        </w:rPr>
      </w:pPr>
    </w:p>
    <w:p w:rsidR="005144D5" w:rsidRPr="005144D5" w:rsidRDefault="005144D5" w:rsidP="005144D5">
      <w:pPr>
        <w:pStyle w:val="AODocTxt"/>
        <w:spacing w:before="0" w:line="320" w:lineRule="atLeast"/>
        <w:ind w:right="1587"/>
        <w:jc w:val="left"/>
        <w:rPr>
          <w:rFonts w:ascii="Calibri" w:hAnsi="Calibri"/>
          <w:b/>
          <w:lang w:val="de-DE"/>
        </w:rPr>
      </w:pPr>
      <w:r w:rsidRPr="005144D5">
        <w:rPr>
          <w:rFonts w:ascii="Calibri" w:hAnsi="Calibri"/>
          <w:b/>
          <w:lang w:val="de-DE"/>
        </w:rPr>
        <w:t>PER MAIL</w:t>
      </w:r>
    </w:p>
    <w:p w:rsidR="005144D5" w:rsidRPr="00CF62C9" w:rsidRDefault="005144D5" w:rsidP="005144D5">
      <w:pPr>
        <w:pStyle w:val="AODocTxt"/>
        <w:spacing w:line="320" w:lineRule="atLeast"/>
        <w:ind w:right="1587"/>
        <w:rPr>
          <w:rFonts w:ascii="Calibri" w:hAnsi="Calibri"/>
        </w:rPr>
      </w:pPr>
      <w:r w:rsidRPr="00CF62C9">
        <w:rPr>
          <w:rFonts w:ascii="Calibri" w:hAnsi="Calibri"/>
        </w:rPr>
        <w:t>Dear Sir or Madam,</w:t>
      </w:r>
    </w:p>
    <w:p w:rsidR="005144D5" w:rsidRPr="00CF62C9" w:rsidRDefault="005144D5" w:rsidP="005144D5">
      <w:pPr>
        <w:pStyle w:val="AODocTxt"/>
        <w:spacing w:line="320" w:lineRule="atLeast"/>
        <w:ind w:right="1587"/>
        <w:rPr>
          <w:rFonts w:ascii="Calibri" w:hAnsi="Calibri"/>
        </w:rPr>
      </w:pPr>
      <w:r w:rsidRPr="00CF62C9">
        <w:rPr>
          <w:rFonts w:ascii="Calibri" w:hAnsi="Calibri"/>
        </w:rPr>
        <w:t xml:space="preserve">The attached paper constitutes the response </w:t>
      </w:r>
      <w:r w:rsidR="00E52484">
        <w:rPr>
          <w:rFonts w:ascii="Calibri" w:hAnsi="Calibri"/>
        </w:rPr>
        <w:t xml:space="preserve">of </w:t>
      </w:r>
      <w:r w:rsidR="00CF62C9" w:rsidRPr="00CF62C9">
        <w:rPr>
          <w:rFonts w:ascii="Calibri" w:hAnsi="Calibri"/>
        </w:rPr>
        <w:t>EUSIPA</w:t>
      </w:r>
      <w:r w:rsidRPr="00CF62C9">
        <w:rPr>
          <w:rFonts w:ascii="Calibri" w:hAnsi="Calibri"/>
        </w:rPr>
        <w:t xml:space="preserve"> to the European Commission's </w:t>
      </w:r>
      <w:r w:rsidRPr="00CF62C9">
        <w:rPr>
          <w:rFonts w:ascii="Calibri" w:hAnsi="Calibri"/>
          <w:i/>
        </w:rPr>
        <w:t>Consultation Document on the Regulation of Indices</w:t>
      </w:r>
      <w:r w:rsidRPr="00CF62C9">
        <w:rPr>
          <w:rFonts w:ascii="Calibri" w:hAnsi="Calibri"/>
        </w:rPr>
        <w:t xml:space="preserve"> dated 5 September 2012 (the "</w:t>
      </w:r>
      <w:r w:rsidRPr="00CF62C9">
        <w:rPr>
          <w:rFonts w:ascii="Calibri" w:hAnsi="Calibri"/>
          <w:b/>
        </w:rPr>
        <w:t>Consultation Document</w:t>
      </w:r>
      <w:r w:rsidRPr="00CF62C9">
        <w:rPr>
          <w:rFonts w:ascii="Calibri" w:hAnsi="Calibri"/>
        </w:rPr>
        <w:t>").</w:t>
      </w:r>
    </w:p>
    <w:p w:rsidR="005144D5" w:rsidRPr="00CF62C9" w:rsidRDefault="00CF62C9" w:rsidP="00AD42EA">
      <w:pPr>
        <w:pStyle w:val="AODocTxt"/>
        <w:spacing w:line="320" w:lineRule="atLeast"/>
        <w:ind w:right="1587"/>
        <w:rPr>
          <w:rFonts w:ascii="Calibri" w:hAnsi="Calibri"/>
        </w:rPr>
      </w:pPr>
      <w:r w:rsidRPr="00CF62C9">
        <w:rPr>
          <w:rFonts w:ascii="Calibri" w:hAnsi="Calibri"/>
          <w:color w:val="000000"/>
          <w:lang w:val="en-US"/>
        </w:rPr>
        <w:t>EUSIPA</w:t>
      </w:r>
      <w:r w:rsidR="005144D5" w:rsidRPr="00CF62C9">
        <w:rPr>
          <w:rFonts w:ascii="Calibri" w:hAnsi="Calibri"/>
          <w:color w:val="000000"/>
          <w:lang w:val="en-US"/>
        </w:rPr>
        <w:t xml:space="preserve"> stands for European Structured Investment Products Association and represents the issuers of note-based and listed Structured Investment Products to retail customers. Our members are national industry associations from Austria, France, Germany, Italy, Sweden and Switzerland. Members of these national associations are major banking institutions.</w:t>
      </w:r>
      <w:r w:rsidR="00AD42EA" w:rsidRPr="00CF62C9">
        <w:rPr>
          <w:rFonts w:ascii="Calibri" w:hAnsi="Calibri"/>
          <w:color w:val="000000"/>
          <w:lang w:val="en-US"/>
        </w:rPr>
        <w:t xml:space="preserve"> </w:t>
      </w:r>
      <w:r w:rsidRPr="00CF62C9">
        <w:rPr>
          <w:rFonts w:ascii="Calibri" w:hAnsi="Calibri"/>
          <w:color w:val="000000"/>
          <w:lang w:val="en-US"/>
        </w:rPr>
        <w:t>EUSIPA</w:t>
      </w:r>
      <w:r w:rsidR="00AD42EA" w:rsidRPr="00CF62C9">
        <w:rPr>
          <w:rFonts w:ascii="Calibri" w:hAnsi="Calibri"/>
          <w:color w:val="000000"/>
          <w:lang w:val="en-US"/>
        </w:rPr>
        <w:t xml:space="preserve"> is listed in the transparency register of the EU under Nr. </w:t>
      </w:r>
      <w:r w:rsidR="00AD42EA" w:rsidRPr="00AD42EA">
        <w:rPr>
          <w:rFonts w:ascii="Calibri" w:hAnsi="Calibri"/>
          <w:color w:val="000000"/>
          <w:lang w:val="en-US"/>
        </w:rPr>
        <w:t>37488345650-13.</w:t>
      </w:r>
      <w:r w:rsidR="00AD42EA" w:rsidRPr="00CF62C9">
        <w:rPr>
          <w:rFonts w:ascii="Calibri" w:hAnsi="Calibri"/>
          <w:color w:val="000000"/>
          <w:lang w:val="en-US"/>
        </w:rPr>
        <w:t xml:space="preserve"> </w:t>
      </w:r>
    </w:p>
    <w:p w:rsidR="005144D5" w:rsidRPr="00CF62C9" w:rsidRDefault="005144D5" w:rsidP="005144D5">
      <w:pPr>
        <w:spacing w:before="240" w:line="320" w:lineRule="atLeast"/>
        <w:ind w:right="1587"/>
        <w:jc w:val="both"/>
        <w:rPr>
          <w:rFonts w:ascii="Calibri" w:hAnsi="Calibri"/>
          <w:color w:val="000000"/>
          <w:sz w:val="22"/>
          <w:szCs w:val="22"/>
          <w:lang w:val="en-US" w:eastAsia="en-GB"/>
        </w:rPr>
      </w:pPr>
      <w:r w:rsidRPr="00CF62C9">
        <w:rPr>
          <w:rFonts w:ascii="Calibri" w:hAnsi="Calibri"/>
          <w:color w:val="000000"/>
          <w:sz w:val="22"/>
          <w:szCs w:val="22"/>
          <w:lang w:val="en-US" w:eastAsia="en-GB"/>
        </w:rPr>
        <w:t xml:space="preserve">Structured Investment Products, also called certificates in some markets, are securitised debt papers for which the issuer, usually a bank, takes the debtor position. The products are called structured because the pay-out to the investor depends on several clearly defined, or “constructed”, conditions. These conditions mainly relate to the performance of an underlying asset (e.g. a share, a bond, a currency, a commodity or an index), over a certain time span. The main markets in the EU provided in the second quarter of 2012 for a volume (called open interest) of around 240b Euro, including Switzerland of around 430b Euro. </w:t>
      </w:r>
    </w:p>
    <w:p w:rsidR="005144D5" w:rsidRPr="00CF62C9" w:rsidRDefault="005144D5" w:rsidP="005144D5">
      <w:pPr>
        <w:pStyle w:val="AODocTxt"/>
        <w:spacing w:line="320" w:lineRule="atLeast"/>
        <w:ind w:right="1587"/>
        <w:rPr>
          <w:rFonts w:ascii="Calibri" w:hAnsi="Calibri"/>
        </w:rPr>
      </w:pPr>
      <w:r w:rsidRPr="00CF62C9">
        <w:rPr>
          <w:rFonts w:ascii="Calibri" w:hAnsi="Calibri"/>
        </w:rPr>
        <w:t xml:space="preserve">Members of </w:t>
      </w:r>
      <w:r w:rsidR="00CF62C9" w:rsidRPr="00CF62C9">
        <w:rPr>
          <w:rFonts w:ascii="Calibri" w:hAnsi="Calibri"/>
        </w:rPr>
        <w:t>EUSIPA</w:t>
      </w:r>
      <w:r w:rsidRPr="00CF62C9">
        <w:rPr>
          <w:rFonts w:ascii="Calibri" w:hAnsi="Calibri"/>
        </w:rPr>
        <w:t xml:space="preserve"> have a close interest in the proper functioning of indices because products whose pay-off algorithm is based on an index (index-linked products) constitute a considerable part of the structured products universe.</w:t>
      </w:r>
    </w:p>
    <w:p w:rsidR="005144D5" w:rsidRPr="00CF62C9" w:rsidRDefault="005144D5" w:rsidP="005144D5">
      <w:pPr>
        <w:pStyle w:val="AODocTxt"/>
        <w:spacing w:line="320" w:lineRule="atLeast"/>
        <w:ind w:right="1587"/>
        <w:rPr>
          <w:rFonts w:ascii="Calibri" w:hAnsi="Calibri"/>
        </w:rPr>
      </w:pPr>
      <w:r w:rsidRPr="00CF62C9">
        <w:rPr>
          <w:rFonts w:ascii="Calibri" w:hAnsi="Calibri"/>
        </w:rPr>
        <w:t xml:space="preserve">However, members of </w:t>
      </w:r>
      <w:r w:rsidR="00CF62C9" w:rsidRPr="00CF62C9">
        <w:rPr>
          <w:rFonts w:ascii="Calibri" w:hAnsi="Calibri"/>
        </w:rPr>
        <w:t>EUSIPA</w:t>
      </w:r>
      <w:r w:rsidRPr="00CF62C9">
        <w:rPr>
          <w:rFonts w:ascii="Calibri" w:hAnsi="Calibri"/>
        </w:rPr>
        <w:t xml:space="preserve"> also attach high importance to stressing that any future regulation of indices must not disregard that the notion of "index" is </w:t>
      </w:r>
      <w:r w:rsidRPr="00CF62C9">
        <w:rPr>
          <w:rFonts w:ascii="Calibri" w:hAnsi="Calibri"/>
          <w:u w:val="single"/>
        </w:rPr>
        <w:t>not</w:t>
      </w:r>
      <w:r w:rsidRPr="00CF62C9">
        <w:rPr>
          <w:rFonts w:ascii="Calibri" w:hAnsi="Calibri"/>
        </w:rPr>
        <w:t xml:space="preserve"> exclusively used to designate market indices such </w:t>
      </w:r>
      <w:r w:rsidRPr="00CF62C9">
        <w:rPr>
          <w:rFonts w:ascii="Calibri" w:hAnsi="Calibri"/>
          <w:lang w:eastAsia="zh-HK"/>
        </w:rPr>
        <w:t xml:space="preserve">as, e.g., the </w:t>
      </w:r>
      <w:r w:rsidRPr="00CF62C9">
        <w:rPr>
          <w:rFonts w:ascii="Calibri" w:hAnsi="Calibri"/>
        </w:rPr>
        <w:t>LIBOR; EURIBOR, FTSE 100, or DAX</w:t>
      </w:r>
      <w:r w:rsidRPr="00CF62C9">
        <w:rPr>
          <w:rFonts w:ascii="Calibri" w:hAnsi="Calibri"/>
          <w:vertAlign w:val="superscript"/>
        </w:rPr>
        <w:t>®</w:t>
      </w:r>
      <w:r w:rsidRPr="00CF62C9">
        <w:rPr>
          <w:rFonts w:ascii="Calibri" w:hAnsi="Calibri"/>
        </w:rPr>
        <w:t xml:space="preserve">. It rather also designates customized proprietary indices that reflect rules-based investment strategies hypothetically (i.e., with no actual trading or investment </w:t>
      </w:r>
      <w:r w:rsidRPr="00CF62C9">
        <w:rPr>
          <w:rFonts w:ascii="Calibri" w:hAnsi="Calibri"/>
        </w:rPr>
        <w:lastRenderedPageBreak/>
        <w:t>activities) conducted by the index sponsor ("</w:t>
      </w:r>
      <w:r w:rsidRPr="00CF62C9">
        <w:rPr>
          <w:rFonts w:ascii="Calibri" w:hAnsi="Calibri"/>
          <w:b/>
        </w:rPr>
        <w:t>Strategy Indices</w:t>
      </w:r>
      <w:r w:rsidRPr="00CF62C9">
        <w:rPr>
          <w:rFonts w:ascii="Calibri" w:hAnsi="Calibri"/>
        </w:rPr>
        <w:t>"). Unfortunately, the definition of "</w:t>
      </w:r>
      <w:r w:rsidRPr="00CF62C9">
        <w:rPr>
          <w:rFonts w:ascii="Calibri" w:hAnsi="Calibri"/>
          <w:i/>
        </w:rPr>
        <w:t>index</w:t>
      </w:r>
      <w:r w:rsidRPr="00CF62C9">
        <w:rPr>
          <w:rFonts w:ascii="Calibri" w:hAnsi="Calibri"/>
        </w:rPr>
        <w:t>" or "</w:t>
      </w:r>
      <w:r w:rsidRPr="00CF62C9">
        <w:rPr>
          <w:rFonts w:ascii="Calibri" w:hAnsi="Calibri"/>
          <w:i/>
        </w:rPr>
        <w:t>benchmark</w:t>
      </w:r>
      <w:r w:rsidRPr="00CF62C9">
        <w:rPr>
          <w:rFonts w:ascii="Calibri" w:hAnsi="Calibri"/>
        </w:rPr>
        <w:t>" used in the consultation is so broad that it does not only cover market indices, but also encompasses Strategy Indices. This is somewhat of a concern because the questions asked in the consultation seem exclusively aimed at market indices insofar as they totally disregard the peculiarities of strategy indices. Therefore, we expect that the answers will also not reflect the difference between market indices and Strategy Indices. This will create a severely wrong perception, as potentially desirable rules on the creation, calculation, publication, transparency and governance of market indices do not at all fit to Strategy Indices.</w:t>
      </w:r>
    </w:p>
    <w:p w:rsidR="005144D5" w:rsidRPr="00CF62C9" w:rsidRDefault="005144D5" w:rsidP="005144D5">
      <w:pPr>
        <w:pStyle w:val="AODocTxt"/>
        <w:spacing w:line="320" w:lineRule="atLeast"/>
        <w:ind w:right="1587"/>
        <w:rPr>
          <w:rFonts w:ascii="Calibri" w:hAnsi="Calibri"/>
        </w:rPr>
      </w:pPr>
      <w:r w:rsidRPr="00CF62C9">
        <w:rPr>
          <w:rFonts w:ascii="Calibri" w:hAnsi="Calibri"/>
        </w:rPr>
        <w:t>Yours sincerely,</w:t>
      </w:r>
    </w:p>
    <w:p w:rsidR="00650EB4" w:rsidRPr="0064468A" w:rsidRDefault="00890CEE" w:rsidP="00650EB4">
      <w:pPr>
        <w:spacing w:line="276" w:lineRule="auto"/>
        <w:ind w:right="1701"/>
        <w:jc w:val="both"/>
        <w:rPr>
          <w:rFonts w:ascii="Calibri" w:hAnsi="Calibri" w:cs="Calibri"/>
          <w:color w:val="000000"/>
          <w:sz w:val="22"/>
          <w:szCs w:val="22"/>
          <w:lang w:val="en-US" w:eastAsia="en-GB"/>
        </w:rPr>
      </w:pPr>
      <w:r>
        <w:rPr>
          <w:noProof/>
          <w:lang w:val="en-US" w:eastAsia="en-US"/>
        </w:rPr>
        <w:drawing>
          <wp:anchor distT="0" distB="0" distL="114300" distR="114300" simplePos="0" relativeHeight="251657216" behindDoc="0" locked="0" layoutInCell="1" allowOverlap="1">
            <wp:simplePos x="0" y="0"/>
            <wp:positionH relativeFrom="column">
              <wp:posOffset>2101850</wp:posOffset>
            </wp:positionH>
            <wp:positionV relativeFrom="paragraph">
              <wp:posOffset>142875</wp:posOffset>
            </wp:positionV>
            <wp:extent cx="2165350" cy="524510"/>
            <wp:effectExtent l="0" t="0" r="0" b="0"/>
            <wp:wrapNone/>
            <wp:docPr id="28" name="Picture 28" descr="N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DN"/>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165350" cy="52451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6192" behindDoc="0" locked="0" layoutInCell="1" allowOverlap="1">
            <wp:simplePos x="0" y="0"/>
            <wp:positionH relativeFrom="column">
              <wp:posOffset>-16510</wp:posOffset>
            </wp:positionH>
            <wp:positionV relativeFrom="paragraph">
              <wp:posOffset>161290</wp:posOffset>
            </wp:positionV>
            <wp:extent cx="1172210" cy="6997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72210" cy="699770"/>
                    </a:xfrm>
                    <a:prstGeom prst="rect">
                      <a:avLst/>
                    </a:prstGeom>
                    <a:noFill/>
                  </pic:spPr>
                </pic:pic>
              </a:graphicData>
            </a:graphic>
          </wp:anchor>
        </w:drawing>
      </w:r>
      <w:r>
        <w:rPr>
          <w:noProof/>
          <w:lang w:val="en-US" w:eastAsia="en-US"/>
        </w:rPr>
        <w:drawing>
          <wp:anchor distT="0" distB="0" distL="114300" distR="114300" simplePos="0" relativeHeight="251655168" behindDoc="0" locked="0" layoutInCell="1" allowOverlap="1">
            <wp:simplePos x="0" y="0"/>
            <wp:positionH relativeFrom="column">
              <wp:posOffset>800100</wp:posOffset>
            </wp:positionH>
            <wp:positionV relativeFrom="paragraph">
              <wp:posOffset>7256145</wp:posOffset>
            </wp:positionV>
            <wp:extent cx="1343025" cy="800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lum bright="-20000" contrast="20000"/>
                    </a:blip>
                    <a:srcRect t="-2" r="3426" b="6599"/>
                    <a:stretch>
                      <a:fillRect/>
                    </a:stretch>
                  </pic:blipFill>
                  <pic:spPr bwMode="auto">
                    <a:xfrm>
                      <a:off x="0" y="0"/>
                      <a:ext cx="1343025" cy="800100"/>
                    </a:xfrm>
                    <a:prstGeom prst="rect">
                      <a:avLst/>
                    </a:prstGeom>
                    <a:noFill/>
                    <a:ln w="9525">
                      <a:noFill/>
                      <a:miter lim="800000"/>
                      <a:headEnd/>
                      <a:tailEnd/>
                    </a:ln>
                  </pic:spPr>
                </pic:pic>
              </a:graphicData>
            </a:graphic>
          </wp:anchor>
        </w:drawing>
      </w:r>
      <w:r w:rsidR="00650EB4" w:rsidRPr="0064468A">
        <w:rPr>
          <w:rFonts w:ascii="Calibri" w:hAnsi="Calibri" w:cs="Calibri"/>
          <w:color w:val="000000"/>
          <w:sz w:val="22"/>
          <w:szCs w:val="22"/>
          <w:lang w:val="en-US" w:eastAsia="en-GB"/>
        </w:rPr>
        <w:t xml:space="preserve"> </w:t>
      </w:r>
      <w:r w:rsidR="00913F49">
        <w:rPr>
          <w:rFonts w:ascii="Calibri" w:hAnsi="Calibri" w:cs="Calibri"/>
          <w:color w:val="000000"/>
          <w:sz w:val="22"/>
          <w:szCs w:val="22"/>
          <w:lang w:val="en-US" w:eastAsia="en-GB"/>
        </w:rPr>
        <w:tab/>
      </w:r>
      <w:r w:rsidR="00913F49">
        <w:rPr>
          <w:rFonts w:ascii="Calibri" w:hAnsi="Calibri" w:cs="Calibri"/>
          <w:color w:val="000000"/>
          <w:sz w:val="22"/>
          <w:szCs w:val="22"/>
          <w:lang w:val="en-US" w:eastAsia="en-GB"/>
        </w:rPr>
        <w:tab/>
      </w:r>
      <w:r w:rsidR="00913F49">
        <w:rPr>
          <w:rFonts w:ascii="Calibri" w:hAnsi="Calibri" w:cs="Calibri"/>
          <w:color w:val="000000"/>
          <w:sz w:val="22"/>
          <w:szCs w:val="22"/>
          <w:lang w:val="en-US" w:eastAsia="en-GB"/>
        </w:rPr>
        <w:tab/>
      </w:r>
    </w:p>
    <w:p w:rsidR="00602653" w:rsidRPr="0064468A" w:rsidRDefault="00602653" w:rsidP="00650EB4">
      <w:pPr>
        <w:spacing w:line="276" w:lineRule="auto"/>
        <w:ind w:right="1701"/>
        <w:jc w:val="both"/>
        <w:rPr>
          <w:rFonts w:ascii="Calibri" w:hAnsi="Calibri" w:cs="Calibri"/>
          <w:color w:val="000000"/>
          <w:sz w:val="22"/>
          <w:szCs w:val="22"/>
          <w:lang w:val="en-US" w:eastAsia="en-GB"/>
        </w:rPr>
      </w:pPr>
    </w:p>
    <w:p w:rsidR="00602653" w:rsidRPr="0064468A" w:rsidRDefault="00602653" w:rsidP="00650EB4">
      <w:pPr>
        <w:spacing w:line="276" w:lineRule="auto"/>
        <w:ind w:right="1701"/>
        <w:jc w:val="both"/>
        <w:rPr>
          <w:rFonts w:ascii="Calibri" w:hAnsi="Calibri" w:cs="Calibri"/>
          <w:color w:val="000000"/>
          <w:sz w:val="22"/>
          <w:szCs w:val="22"/>
          <w:lang w:val="en-US" w:eastAsia="en-GB"/>
        </w:rPr>
      </w:pPr>
    </w:p>
    <w:p w:rsidR="00625550" w:rsidRPr="009546B6" w:rsidRDefault="00625550" w:rsidP="00602653">
      <w:pPr>
        <w:ind w:right="1701"/>
        <w:jc w:val="both"/>
        <w:rPr>
          <w:rFonts w:ascii="Calibri" w:hAnsi="Calibri" w:cs="Calibri"/>
          <w:color w:val="000000"/>
          <w:sz w:val="22"/>
          <w:szCs w:val="22"/>
          <w:lang w:eastAsia="en-GB"/>
        </w:rPr>
      </w:pPr>
      <w:r w:rsidRPr="009546B6">
        <w:rPr>
          <w:rFonts w:ascii="Calibri" w:hAnsi="Calibri" w:cs="Calibri"/>
          <w:color w:val="000000"/>
          <w:sz w:val="22"/>
          <w:szCs w:val="22"/>
          <w:lang w:eastAsia="en-GB"/>
        </w:rPr>
        <w:t>Thomas Wulf</w:t>
      </w:r>
      <w:r w:rsidRPr="009546B6">
        <w:rPr>
          <w:rFonts w:ascii="Calibri" w:hAnsi="Calibri" w:cs="Calibri"/>
          <w:color w:val="000000"/>
          <w:sz w:val="22"/>
          <w:szCs w:val="22"/>
          <w:lang w:eastAsia="en-GB"/>
        </w:rPr>
        <w:tab/>
      </w:r>
      <w:r w:rsidR="00913F49" w:rsidRPr="009546B6">
        <w:rPr>
          <w:rFonts w:ascii="Calibri" w:hAnsi="Calibri" w:cs="Calibri"/>
          <w:color w:val="000000"/>
          <w:sz w:val="22"/>
          <w:szCs w:val="22"/>
          <w:lang w:eastAsia="en-GB"/>
        </w:rPr>
        <w:tab/>
      </w:r>
      <w:r w:rsidR="00913F49" w:rsidRPr="009546B6">
        <w:rPr>
          <w:rFonts w:ascii="Calibri" w:hAnsi="Calibri" w:cs="Calibri"/>
          <w:color w:val="000000"/>
          <w:sz w:val="22"/>
          <w:szCs w:val="22"/>
          <w:lang w:eastAsia="en-GB"/>
        </w:rPr>
        <w:tab/>
      </w:r>
      <w:r w:rsidR="00913F49" w:rsidRPr="009546B6">
        <w:rPr>
          <w:rFonts w:ascii="Calibri" w:hAnsi="Calibri" w:cs="Calibri"/>
          <w:color w:val="000000"/>
          <w:sz w:val="22"/>
          <w:szCs w:val="22"/>
          <w:lang w:eastAsia="en-GB"/>
        </w:rPr>
        <w:tab/>
      </w:r>
      <w:r w:rsidR="009546B6" w:rsidRPr="009546B6">
        <w:rPr>
          <w:rFonts w:ascii="Calibri" w:hAnsi="Calibri" w:cs="Calibri"/>
          <w:color w:val="000000"/>
          <w:sz w:val="22"/>
          <w:szCs w:val="22"/>
          <w:lang w:eastAsia="en-GB"/>
        </w:rPr>
        <w:t xml:space="preserve">Dr. </w:t>
      </w:r>
      <w:r w:rsidR="00913F49" w:rsidRPr="009546B6">
        <w:rPr>
          <w:rFonts w:ascii="Calibri" w:hAnsi="Calibri" w:cs="Calibri"/>
          <w:color w:val="000000"/>
          <w:sz w:val="22"/>
          <w:szCs w:val="22"/>
          <w:lang w:eastAsia="en-GB"/>
        </w:rPr>
        <w:t xml:space="preserve">Nikolaus </w:t>
      </w:r>
      <w:r w:rsidR="009546B6" w:rsidRPr="009546B6">
        <w:rPr>
          <w:rFonts w:ascii="Calibri" w:hAnsi="Calibri" w:cs="Calibri"/>
          <w:color w:val="000000"/>
          <w:sz w:val="22"/>
          <w:szCs w:val="22"/>
          <w:lang w:eastAsia="en-GB"/>
        </w:rPr>
        <w:t xml:space="preserve">Dominik </w:t>
      </w:r>
      <w:r w:rsidR="00913F49" w:rsidRPr="009546B6">
        <w:rPr>
          <w:rFonts w:ascii="Calibri" w:hAnsi="Calibri" w:cs="Calibri"/>
          <w:color w:val="000000"/>
          <w:sz w:val="22"/>
          <w:szCs w:val="22"/>
          <w:lang w:eastAsia="en-GB"/>
        </w:rPr>
        <w:t>Neundörfer</w:t>
      </w:r>
    </w:p>
    <w:p w:rsidR="00602653" w:rsidRPr="0064468A" w:rsidRDefault="00625550" w:rsidP="00602653">
      <w:pPr>
        <w:ind w:right="1701"/>
        <w:jc w:val="both"/>
        <w:rPr>
          <w:rFonts w:ascii="Calibri" w:hAnsi="Calibri" w:cs="Calibri"/>
          <w:color w:val="000000"/>
          <w:sz w:val="18"/>
          <w:szCs w:val="18"/>
          <w:lang w:val="en-US" w:eastAsia="en-GB"/>
        </w:rPr>
      </w:pPr>
      <w:r w:rsidRPr="0064468A">
        <w:rPr>
          <w:rFonts w:ascii="Calibri" w:hAnsi="Calibri" w:cs="Calibri"/>
          <w:color w:val="000000"/>
          <w:sz w:val="18"/>
          <w:szCs w:val="18"/>
          <w:lang w:val="en-US" w:eastAsia="en-GB"/>
        </w:rPr>
        <w:t xml:space="preserve">Secretary General, </w:t>
      </w:r>
      <w:r w:rsidR="00CF62C9">
        <w:rPr>
          <w:rFonts w:ascii="Calibri" w:hAnsi="Calibri" w:cs="Calibri"/>
          <w:color w:val="000000"/>
          <w:sz w:val="18"/>
          <w:szCs w:val="18"/>
          <w:lang w:val="en-US" w:eastAsia="en-GB"/>
        </w:rPr>
        <w:t>EUSIPA</w:t>
      </w:r>
      <w:r w:rsidR="00913F49">
        <w:rPr>
          <w:rFonts w:ascii="Calibri" w:hAnsi="Calibri" w:cs="Calibri"/>
          <w:color w:val="000000"/>
          <w:sz w:val="18"/>
          <w:szCs w:val="18"/>
          <w:lang w:val="en-US" w:eastAsia="en-GB"/>
        </w:rPr>
        <w:tab/>
      </w:r>
      <w:r w:rsidR="00913F49">
        <w:rPr>
          <w:rFonts w:ascii="Calibri" w:hAnsi="Calibri" w:cs="Calibri"/>
          <w:color w:val="000000"/>
          <w:sz w:val="18"/>
          <w:szCs w:val="18"/>
          <w:lang w:val="en-US" w:eastAsia="en-GB"/>
        </w:rPr>
        <w:tab/>
      </w:r>
      <w:r w:rsidR="00913F49">
        <w:rPr>
          <w:rFonts w:ascii="Calibri" w:hAnsi="Calibri" w:cs="Calibri"/>
          <w:color w:val="000000"/>
          <w:sz w:val="18"/>
          <w:szCs w:val="18"/>
          <w:lang w:val="en-US" w:eastAsia="en-GB"/>
        </w:rPr>
        <w:tab/>
        <w:t xml:space="preserve">Head of Legal Committee, </w:t>
      </w:r>
      <w:r w:rsidR="00CF62C9">
        <w:rPr>
          <w:rFonts w:ascii="Calibri" w:hAnsi="Calibri" w:cs="Calibri"/>
          <w:color w:val="000000"/>
          <w:sz w:val="18"/>
          <w:szCs w:val="18"/>
          <w:lang w:val="en-US" w:eastAsia="en-GB"/>
        </w:rPr>
        <w:t>EUSIPA</w:t>
      </w:r>
      <w:r w:rsidR="00913F49">
        <w:rPr>
          <w:rFonts w:ascii="Calibri" w:hAnsi="Calibri" w:cs="Calibri"/>
          <w:color w:val="000000"/>
          <w:sz w:val="18"/>
          <w:szCs w:val="18"/>
          <w:lang w:val="en-US" w:eastAsia="en-GB"/>
        </w:rPr>
        <w:t xml:space="preserve"> </w:t>
      </w:r>
    </w:p>
    <w:p w:rsidR="005144D5" w:rsidRDefault="005144D5" w:rsidP="00913F49">
      <w:pPr>
        <w:rPr>
          <w:rFonts w:ascii="Calibri" w:hAnsi="Calibri" w:cs="Calibri"/>
          <w:color w:val="000000"/>
          <w:sz w:val="18"/>
          <w:szCs w:val="18"/>
          <w:lang w:val="en-US"/>
        </w:rPr>
      </w:pPr>
    </w:p>
    <w:p w:rsidR="005144D5" w:rsidRDefault="005144D5" w:rsidP="00913F49">
      <w:pPr>
        <w:rPr>
          <w:rFonts w:ascii="Calibri" w:hAnsi="Calibri" w:cs="Calibri"/>
          <w:color w:val="000000"/>
          <w:sz w:val="18"/>
          <w:szCs w:val="18"/>
          <w:lang w:val="en-US"/>
        </w:rPr>
      </w:pPr>
    </w:p>
    <w:p w:rsidR="005144D5" w:rsidRDefault="005144D5" w:rsidP="00913F49">
      <w:pPr>
        <w:rPr>
          <w:rFonts w:ascii="Calibri" w:hAnsi="Calibri" w:cs="Calibri"/>
          <w:color w:val="000000"/>
          <w:sz w:val="18"/>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144D5" w:rsidRDefault="005144D5" w:rsidP="00913F49">
      <w:pPr>
        <w:rPr>
          <w:rFonts w:ascii="Calibri" w:hAnsi="Calibri" w:cs="Calibri"/>
          <w:color w:val="000000"/>
          <w:sz w:val="22"/>
          <w:szCs w:val="18"/>
          <w:lang w:val="en-US"/>
        </w:rPr>
      </w:pPr>
    </w:p>
    <w:p w:rsidR="005C3D47" w:rsidRDefault="005144D5" w:rsidP="00913F49">
      <w:pPr>
        <w:rPr>
          <w:rFonts w:ascii="Calibri" w:hAnsi="Calibri" w:cs="Calibri"/>
          <w:color w:val="000000"/>
          <w:sz w:val="22"/>
          <w:szCs w:val="18"/>
          <w:lang w:val="en-US"/>
        </w:rPr>
      </w:pPr>
      <w:r w:rsidRPr="005144D5">
        <w:rPr>
          <w:rFonts w:ascii="Calibri" w:hAnsi="Calibri" w:cs="Calibri"/>
          <w:color w:val="000000"/>
          <w:sz w:val="22"/>
          <w:szCs w:val="18"/>
          <w:lang w:val="en-US"/>
        </w:rPr>
        <w:t>Attachment</w:t>
      </w:r>
    </w:p>
    <w:p w:rsidR="00913F49" w:rsidRPr="000C68BA" w:rsidRDefault="005C3D47" w:rsidP="00913F49">
      <w:pPr>
        <w:rPr>
          <w:rFonts w:ascii="Arial" w:hAnsi="Arial" w:cs="Arial"/>
          <w:lang w:val="en-US" w:eastAsia="en-US"/>
        </w:rPr>
      </w:pPr>
      <w:r>
        <w:rPr>
          <w:rFonts w:ascii="Calibri" w:hAnsi="Calibri" w:cs="Calibri"/>
          <w:color w:val="000000"/>
          <w:sz w:val="22"/>
          <w:szCs w:val="18"/>
          <w:lang w:val="en-US"/>
        </w:rPr>
        <w:br w:type="page"/>
      </w:r>
    </w:p>
    <w:p w:rsidR="005144D5" w:rsidRDefault="005144D5" w:rsidP="005144D5">
      <w:pPr>
        <w:pStyle w:val="AODocTxt"/>
        <w:spacing w:before="120" w:line="320" w:lineRule="atLeast"/>
        <w:jc w:val="center"/>
        <w:rPr>
          <w:b/>
          <w:sz w:val="24"/>
          <w:szCs w:val="24"/>
        </w:rPr>
      </w:pPr>
      <w:bookmarkStart w:id="0" w:name="_Toc340072653"/>
      <w:r>
        <w:rPr>
          <w:b/>
          <w:sz w:val="24"/>
          <w:szCs w:val="24"/>
        </w:rPr>
        <w:t>Comments</w:t>
      </w:r>
    </w:p>
    <w:p w:rsidR="005144D5" w:rsidRDefault="005144D5" w:rsidP="005144D5">
      <w:pPr>
        <w:pStyle w:val="AODocTxt"/>
        <w:spacing w:before="120" w:line="320" w:lineRule="atLeast"/>
        <w:jc w:val="center"/>
        <w:rPr>
          <w:b/>
          <w:sz w:val="24"/>
          <w:szCs w:val="24"/>
        </w:rPr>
      </w:pPr>
      <w:r>
        <w:rPr>
          <w:b/>
          <w:sz w:val="24"/>
          <w:szCs w:val="24"/>
        </w:rPr>
        <w:t>of the</w:t>
      </w:r>
    </w:p>
    <w:p w:rsidR="005144D5" w:rsidRDefault="005144D5" w:rsidP="005144D5">
      <w:pPr>
        <w:pStyle w:val="AODocTxt"/>
        <w:spacing w:before="120" w:line="320" w:lineRule="atLeast"/>
        <w:jc w:val="center"/>
        <w:rPr>
          <w:b/>
          <w:sz w:val="24"/>
          <w:szCs w:val="24"/>
        </w:rPr>
      </w:pPr>
      <w:r>
        <w:rPr>
          <w:b/>
          <w:sz w:val="24"/>
          <w:szCs w:val="24"/>
        </w:rPr>
        <w:t>European Structured Investment Products Association (</w:t>
      </w:r>
      <w:r w:rsidR="00CF62C9">
        <w:rPr>
          <w:b/>
          <w:sz w:val="24"/>
          <w:szCs w:val="24"/>
        </w:rPr>
        <w:t>EUSIPA</w:t>
      </w:r>
      <w:r>
        <w:rPr>
          <w:b/>
          <w:sz w:val="24"/>
          <w:szCs w:val="24"/>
        </w:rPr>
        <w:t>)</w:t>
      </w:r>
    </w:p>
    <w:p w:rsidR="005144D5" w:rsidRDefault="005144D5" w:rsidP="005144D5">
      <w:pPr>
        <w:pStyle w:val="AODocTxt"/>
        <w:spacing w:before="120" w:line="320" w:lineRule="atLeast"/>
        <w:jc w:val="center"/>
        <w:rPr>
          <w:b/>
          <w:sz w:val="24"/>
          <w:szCs w:val="24"/>
        </w:rPr>
      </w:pPr>
      <w:r>
        <w:rPr>
          <w:b/>
          <w:sz w:val="24"/>
          <w:szCs w:val="24"/>
        </w:rPr>
        <w:t>on the</w:t>
      </w:r>
    </w:p>
    <w:p w:rsidR="005144D5" w:rsidRDefault="005144D5" w:rsidP="005144D5">
      <w:pPr>
        <w:pStyle w:val="AODocTxt"/>
        <w:spacing w:before="120" w:line="320" w:lineRule="atLeast"/>
        <w:jc w:val="center"/>
        <w:rPr>
          <w:b/>
          <w:sz w:val="24"/>
          <w:szCs w:val="24"/>
        </w:rPr>
      </w:pPr>
      <w:r>
        <w:rPr>
          <w:b/>
          <w:sz w:val="24"/>
          <w:szCs w:val="24"/>
        </w:rPr>
        <w:t>European Commission’s Consultation Document on the regulation of indices</w:t>
      </w:r>
    </w:p>
    <w:p w:rsidR="005144D5" w:rsidRDefault="005144D5" w:rsidP="005144D5">
      <w:pPr>
        <w:pStyle w:val="AODocTxt"/>
        <w:spacing w:before="120" w:line="320" w:lineRule="atLeast"/>
        <w:jc w:val="center"/>
        <w:rPr>
          <w:b/>
          <w:sz w:val="24"/>
          <w:szCs w:val="24"/>
        </w:rPr>
      </w:pPr>
    </w:p>
    <w:p w:rsidR="005144D5" w:rsidRDefault="005144D5" w:rsidP="005144D5">
      <w:pPr>
        <w:pStyle w:val="AODocTxt"/>
        <w:numPr>
          <w:ilvl w:val="0"/>
          <w:numId w:val="0"/>
        </w:numPr>
        <w:spacing w:before="120" w:line="320" w:lineRule="atLeast"/>
        <w:jc w:val="center"/>
        <w:rPr>
          <w:b/>
          <w:sz w:val="24"/>
          <w:szCs w:val="24"/>
        </w:rPr>
      </w:pPr>
      <w:r>
        <w:rPr>
          <w:b/>
          <w:sz w:val="24"/>
          <w:szCs w:val="24"/>
        </w:rPr>
        <w:t>Brussels, 26/11/2012</w:t>
      </w:r>
    </w:p>
    <w:p w:rsidR="005144D5" w:rsidRDefault="005144D5" w:rsidP="005144D5">
      <w:pPr>
        <w:pStyle w:val="AODocTxt"/>
        <w:numPr>
          <w:ilvl w:val="0"/>
          <w:numId w:val="0"/>
        </w:numPr>
        <w:spacing w:before="360" w:line="320" w:lineRule="atLeast"/>
        <w:rPr>
          <w:b/>
          <w:sz w:val="24"/>
          <w:szCs w:val="24"/>
        </w:rPr>
      </w:pPr>
      <w:r>
        <w:rPr>
          <w:b/>
          <w:sz w:val="24"/>
          <w:szCs w:val="24"/>
        </w:rPr>
        <w:t>I. GENERAL REMARK</w:t>
      </w:r>
    </w:p>
    <w:p w:rsidR="005144D5" w:rsidRDefault="005144D5" w:rsidP="005144D5">
      <w:pPr>
        <w:pStyle w:val="AODocTxt"/>
        <w:numPr>
          <w:ilvl w:val="0"/>
          <w:numId w:val="0"/>
        </w:numPr>
        <w:spacing w:line="320" w:lineRule="atLeast"/>
        <w:rPr>
          <w:sz w:val="24"/>
          <w:szCs w:val="24"/>
        </w:rPr>
      </w:pPr>
      <w:r>
        <w:rPr>
          <w:sz w:val="24"/>
          <w:szCs w:val="24"/>
        </w:rPr>
        <w:t xml:space="preserve">Indices used as a "benchmark" are key to a very large part of the structured investment products universe issued by our members. Consequently, our members have a close interest in ensuring the integrity of any such indices. We note, however, that it is necessary to make a difference between indices that are objective reference data </w:t>
      </w:r>
      <w:r>
        <w:rPr>
          <w:sz w:val="24"/>
          <w:szCs w:val="24"/>
          <w:lang w:eastAsia="zh-HK"/>
        </w:rPr>
        <w:t xml:space="preserve">(as, e.g., the </w:t>
      </w:r>
      <w:r>
        <w:rPr>
          <w:sz w:val="24"/>
          <w:szCs w:val="24"/>
        </w:rPr>
        <w:t>LIBOR; EURIBOR, FTSE 100, or DAX</w:t>
      </w:r>
      <w:r>
        <w:rPr>
          <w:sz w:val="24"/>
          <w:szCs w:val="24"/>
          <w:vertAlign w:val="superscript"/>
        </w:rPr>
        <w:t>®</w:t>
      </w:r>
      <w:r>
        <w:rPr>
          <w:sz w:val="24"/>
          <w:szCs w:val="24"/>
          <w:lang w:eastAsia="zh-HK"/>
        </w:rPr>
        <w:t>)</w:t>
      </w:r>
      <w:r>
        <w:rPr>
          <w:sz w:val="24"/>
          <w:szCs w:val="24"/>
        </w:rPr>
        <w:t>, and Strategy Indices, i.e., customized proprietary indices that reflect rules-based investment strategies hypothetically (i.e., with no actual trading or investment activities) conducted by the index sponsor, who basically allocates a hypothetical amount of money as provided for by the index description.</w:t>
      </w:r>
    </w:p>
    <w:p w:rsidR="005144D5" w:rsidRDefault="005144D5" w:rsidP="005144D5">
      <w:pPr>
        <w:pStyle w:val="AODocTxt"/>
        <w:spacing w:line="320" w:lineRule="atLeast"/>
        <w:rPr>
          <w:sz w:val="24"/>
          <w:szCs w:val="24"/>
        </w:rPr>
      </w:pPr>
      <w:r>
        <w:rPr>
          <w:sz w:val="24"/>
          <w:szCs w:val="24"/>
        </w:rPr>
        <w:t>The definition of "</w:t>
      </w:r>
      <w:r>
        <w:rPr>
          <w:i/>
          <w:sz w:val="24"/>
          <w:szCs w:val="24"/>
        </w:rPr>
        <w:t>index</w:t>
      </w:r>
      <w:r>
        <w:rPr>
          <w:sz w:val="24"/>
          <w:szCs w:val="24"/>
        </w:rPr>
        <w:t>" or "</w:t>
      </w:r>
      <w:r>
        <w:rPr>
          <w:i/>
          <w:sz w:val="24"/>
          <w:szCs w:val="24"/>
        </w:rPr>
        <w:t>benchmark</w:t>
      </w:r>
      <w:r>
        <w:rPr>
          <w:sz w:val="24"/>
          <w:szCs w:val="24"/>
        </w:rPr>
        <w:t>" used in the consultation is so broad that it does not only cover market indices, but also encompasses Strategy Indices. This is somewhat of a concern because the questions asked in the consultation totally disregard the peculiarities of Strategy Indices and are exclusively aimed at market indices. Throughout the consultation, indices are regarded as tools to "</w:t>
      </w:r>
      <w:r>
        <w:rPr>
          <w:i/>
          <w:sz w:val="24"/>
          <w:szCs w:val="24"/>
        </w:rPr>
        <w:t>accurately reflect the economic realities that they are intended to measure</w:t>
      </w:r>
      <w:r>
        <w:rPr>
          <w:sz w:val="24"/>
          <w:szCs w:val="24"/>
        </w:rPr>
        <w:t>" which are calculated as the average of the underlying data. However, this is not at all the case for Strategy Indices: These are not designed to reflect and/or measure certain economic realities, but rather represent rules-based investment strategies conducted by the index sponsor. The index sponsor conducts, within the limits of the rules set out in the description of the methodology, a virtual investment strategy with the purpose of maximising the index level.</w:t>
      </w:r>
    </w:p>
    <w:p w:rsidR="005144D5" w:rsidRDefault="0070001A" w:rsidP="005144D5">
      <w:pPr>
        <w:pStyle w:val="AODocTxt"/>
        <w:numPr>
          <w:ilvl w:val="0"/>
          <w:numId w:val="0"/>
        </w:numPr>
        <w:spacing w:line="320" w:lineRule="atLeast"/>
        <w:rPr>
          <w:sz w:val="24"/>
          <w:szCs w:val="24"/>
        </w:rPr>
      </w:pPr>
      <w:r>
        <w:rPr>
          <w:noProof/>
          <w:sz w:val="24"/>
          <w:szCs w:val="24"/>
          <w:lang w:val="de-DE" w:eastAsia="de-DE"/>
        </w:rPr>
        <w:pict>
          <v:shapetype id="_x0000_t202" coordsize="21600,21600" o:spt="202" path="m,l,21600r21600,l21600,xe">
            <v:stroke joinstyle="miter"/>
            <v:path gradientshapeok="t" o:connecttype="rect"/>
          </v:shapetype>
          <v:shape id="_x0000_s1053" type="#_x0000_t202" style="position:absolute;left:0;text-align:left;margin-left:457.3pt;margin-top:139.15pt;width:35pt;height:26.3pt;z-index:251658240" stroked="f">
            <v:textbox>
              <w:txbxContent>
                <w:p w:rsidR="0070001A" w:rsidRDefault="0070001A">
                  <w:r>
                    <w:t>1</w:t>
                  </w:r>
                </w:p>
              </w:txbxContent>
            </v:textbox>
          </v:shape>
        </w:pict>
      </w:r>
      <w:r w:rsidR="005144D5">
        <w:rPr>
          <w:sz w:val="24"/>
          <w:szCs w:val="24"/>
        </w:rPr>
        <w:t xml:space="preserve">Indices representing customized investment strategies constitute extended parts of the pay-off mechanism of any financial product linked to such index – in the form of general terms &amp; conditions defining a substantial part thereof – that are incorporated in the relevant product terms &amp; conditions (if the relevant financial product is a structured security) or the relevant agreement (if the relevant financial product is an OTC product) by way of reference. As a consequence, any investor in a product linked to a Strategy Index has a contractual right vis-à-vis his counterparty that the index methodology is followed, and is protected by the law on unfair contract terms. </w:t>
      </w:r>
    </w:p>
    <w:p w:rsidR="005144D5" w:rsidRDefault="005144D5" w:rsidP="005144D5">
      <w:pPr>
        <w:pStyle w:val="AODocTxt"/>
        <w:numPr>
          <w:ilvl w:val="0"/>
          <w:numId w:val="0"/>
        </w:numPr>
        <w:spacing w:line="320" w:lineRule="atLeast"/>
        <w:rPr>
          <w:sz w:val="24"/>
          <w:szCs w:val="24"/>
        </w:rPr>
      </w:pPr>
      <w:r>
        <w:rPr>
          <w:sz w:val="24"/>
          <w:szCs w:val="24"/>
        </w:rPr>
        <w:lastRenderedPageBreak/>
        <w:t>The fundamental difference between indices that are objective data, and Strategy Indices is also recognised by the EU Prospectus regulation (i.e. Annex XII No. 4.2.2. (ii) of Regulation (EU) No 486/2012 amending the Prospectus Regulation (EC) No 809/2004) that basically treats indices composed by the issuer of a security as part of the pay-off formula. Anyway, it cannot really make a difference whether the index description of a Proprietary Index is set out in a separate documents (to which reference is made in the terms &amp; conditions of the financial product) or is directly inserted in the terms &amp; conditions.</w:t>
      </w:r>
    </w:p>
    <w:p w:rsidR="005144D5" w:rsidRDefault="005144D5" w:rsidP="005144D5">
      <w:pPr>
        <w:pStyle w:val="AODocTxt"/>
        <w:numPr>
          <w:ilvl w:val="0"/>
          <w:numId w:val="0"/>
        </w:numPr>
        <w:spacing w:line="320" w:lineRule="atLeast"/>
        <w:rPr>
          <w:sz w:val="24"/>
          <w:szCs w:val="24"/>
        </w:rPr>
      </w:pPr>
      <w:r>
        <w:rPr>
          <w:sz w:val="24"/>
          <w:szCs w:val="24"/>
        </w:rPr>
        <w:t xml:space="preserve">It makes no sense at all to apply rules designated for indices that are objective reference data </w:t>
      </w:r>
      <w:r>
        <w:rPr>
          <w:sz w:val="24"/>
          <w:szCs w:val="24"/>
          <w:lang w:eastAsia="zh-HK"/>
        </w:rPr>
        <w:t xml:space="preserve">(as, e.g., the </w:t>
      </w:r>
      <w:r>
        <w:rPr>
          <w:sz w:val="24"/>
          <w:szCs w:val="24"/>
        </w:rPr>
        <w:t>LIBOR; EURIBOR, FTSE 100, or DAX</w:t>
      </w:r>
      <w:r>
        <w:rPr>
          <w:sz w:val="24"/>
          <w:szCs w:val="24"/>
          <w:vertAlign w:val="superscript"/>
        </w:rPr>
        <w:t>®</w:t>
      </w:r>
      <w:r>
        <w:rPr>
          <w:sz w:val="24"/>
          <w:szCs w:val="24"/>
          <w:lang w:eastAsia="zh-HK"/>
        </w:rPr>
        <w:t>)</w:t>
      </w:r>
      <w:r>
        <w:rPr>
          <w:sz w:val="24"/>
          <w:szCs w:val="24"/>
        </w:rPr>
        <w:t xml:space="preserve"> to indices that are not, and do not purport to be, </w:t>
      </w:r>
      <w:r>
        <w:rPr>
          <w:sz w:val="24"/>
          <w:szCs w:val="24"/>
          <w:lang w:eastAsia="zh-HK"/>
        </w:rPr>
        <w:t xml:space="preserve">objective reference data. Accordingly, there is no risk of misconception regarding the objectivity of the benchmark by investors in index-linked products. </w:t>
      </w:r>
      <w:r>
        <w:rPr>
          <w:sz w:val="24"/>
          <w:szCs w:val="24"/>
        </w:rPr>
        <w:t>Potentially desirable rules on the creation, calculation, publication, transparency and governance of market indices cannot equally be applied to Strategy Indices. Any regulation of requirements in respect of the calculation of indices that would equally apply to Strategy Indices would – without any need, as the law on unfair contract terms provides sufficient protection to investors in products linked to a Strategy Index – confuse the name and the thing and thereby intrude in the contractual relationship between the parties to financial products linked to proprietary indices:</w:t>
      </w:r>
    </w:p>
    <w:p w:rsidR="005144D5" w:rsidRDefault="005144D5" w:rsidP="005144D5">
      <w:pPr>
        <w:pStyle w:val="AODocTxt"/>
        <w:numPr>
          <w:ilvl w:val="0"/>
          <w:numId w:val="0"/>
        </w:numPr>
        <w:spacing w:line="320" w:lineRule="atLeast"/>
        <w:rPr>
          <w:sz w:val="24"/>
          <w:szCs w:val="24"/>
        </w:rPr>
      </w:pPr>
      <w:r>
        <w:rPr>
          <w:sz w:val="24"/>
          <w:szCs w:val="24"/>
        </w:rPr>
        <w:t>(i) Index composition and use of indices</w:t>
      </w:r>
    </w:p>
    <w:p w:rsidR="005144D5" w:rsidRDefault="005144D5" w:rsidP="005144D5">
      <w:pPr>
        <w:pStyle w:val="AODocTxt"/>
        <w:numPr>
          <w:ilvl w:val="0"/>
          <w:numId w:val="0"/>
        </w:numPr>
        <w:spacing w:line="320" w:lineRule="atLeast"/>
        <w:rPr>
          <w:sz w:val="24"/>
          <w:szCs w:val="24"/>
        </w:rPr>
      </w:pPr>
      <w:r>
        <w:rPr>
          <w:sz w:val="24"/>
          <w:szCs w:val="24"/>
        </w:rPr>
        <w:t>From a structured products perspective appropriate control to ensure that both market indices and Strategy Indices fit for the purpose of relevant investors can be achieved by applying the MiFID framework. One must keep in mind that investors cannot directly invest into an index. Such investment is only possible via a financial product whose pay-off structure is linked to the index. As such financial products necessarily fall within the scope of the MiFID the responsibility to assess the suitability of the index (and of the financial product) is basically with the distributor, and, alternatively, with the manufacturer of the index-linked products who might determine on a generic basis for what category of investors a financial product linked to a specific index might be suitable.</w:t>
      </w:r>
    </w:p>
    <w:p w:rsidR="005144D5" w:rsidRDefault="005144D5" w:rsidP="005144D5">
      <w:pPr>
        <w:pStyle w:val="AODocTxt"/>
        <w:numPr>
          <w:ilvl w:val="0"/>
          <w:numId w:val="0"/>
        </w:numPr>
        <w:spacing w:line="320" w:lineRule="atLeast"/>
        <w:rPr>
          <w:sz w:val="24"/>
          <w:szCs w:val="24"/>
        </w:rPr>
      </w:pPr>
      <w:r>
        <w:rPr>
          <w:sz w:val="24"/>
          <w:szCs w:val="24"/>
        </w:rPr>
        <w:t>(ii) Index determination</w:t>
      </w:r>
    </w:p>
    <w:p w:rsidR="005144D5" w:rsidRDefault="0070001A" w:rsidP="005144D5">
      <w:pPr>
        <w:pStyle w:val="AODocTxt"/>
        <w:numPr>
          <w:ilvl w:val="0"/>
          <w:numId w:val="0"/>
        </w:numPr>
        <w:spacing w:line="320" w:lineRule="atLeast"/>
        <w:rPr>
          <w:sz w:val="24"/>
          <w:szCs w:val="24"/>
        </w:rPr>
      </w:pPr>
      <w:r>
        <w:rPr>
          <w:noProof/>
          <w:sz w:val="24"/>
          <w:szCs w:val="24"/>
          <w:lang w:val="de-DE" w:eastAsia="de-DE"/>
        </w:rPr>
        <w:pict>
          <v:shape id="_x0000_s1054" type="#_x0000_t202" style="position:absolute;left:0;text-align:left;margin-left:460pt;margin-top:162.65pt;width:35pt;height:26.3pt;z-index:251659264" stroked="f">
            <v:textbox>
              <w:txbxContent>
                <w:p w:rsidR="0070001A" w:rsidRDefault="0070001A" w:rsidP="0070001A">
                  <w:r>
                    <w:t>2</w:t>
                  </w:r>
                </w:p>
              </w:txbxContent>
            </v:textbox>
          </v:shape>
        </w:pict>
      </w:r>
      <w:r w:rsidR="005144D5">
        <w:rPr>
          <w:sz w:val="24"/>
          <w:szCs w:val="24"/>
        </w:rPr>
        <w:t xml:space="preserve">Any mandatory rules on the determination of the relevant index, including the determination of prices of underlying assets are impractical for Strategy Indices. While such rules may be appropriate for market indices, such determination is not feasible for many underlyings of Strategy Indices. The relevant Strategy Index may, for instance, relate to prices for trades that the index sponsor or a certain other person conducts. In such case it would not be possible to determine the price on the basis of price information offered by, or obtained from, external source such as, for instance, quotes of a panel, committee or a similar entity. </w:t>
      </w:r>
    </w:p>
    <w:p w:rsidR="00CF62C9" w:rsidRDefault="00CF62C9" w:rsidP="005144D5">
      <w:pPr>
        <w:pStyle w:val="AODocTxt"/>
        <w:numPr>
          <w:ilvl w:val="0"/>
          <w:numId w:val="0"/>
        </w:numPr>
        <w:spacing w:line="320" w:lineRule="atLeast"/>
        <w:rPr>
          <w:sz w:val="24"/>
          <w:szCs w:val="24"/>
        </w:rPr>
      </w:pPr>
    </w:p>
    <w:p w:rsidR="005144D5" w:rsidRDefault="005144D5" w:rsidP="005144D5">
      <w:pPr>
        <w:pStyle w:val="AODocTxt"/>
        <w:numPr>
          <w:ilvl w:val="0"/>
          <w:numId w:val="0"/>
        </w:numPr>
        <w:spacing w:line="320" w:lineRule="atLeast"/>
        <w:rPr>
          <w:sz w:val="24"/>
          <w:szCs w:val="24"/>
        </w:rPr>
      </w:pPr>
      <w:r>
        <w:rPr>
          <w:sz w:val="24"/>
          <w:szCs w:val="24"/>
        </w:rPr>
        <w:lastRenderedPageBreak/>
        <w:t>(iii) Index sponsor</w:t>
      </w:r>
    </w:p>
    <w:p w:rsidR="005144D5" w:rsidRDefault="005144D5" w:rsidP="005144D5">
      <w:pPr>
        <w:pStyle w:val="AODocTxt"/>
        <w:numPr>
          <w:ilvl w:val="0"/>
          <w:numId w:val="0"/>
        </w:numPr>
        <w:spacing w:line="320" w:lineRule="atLeast"/>
        <w:rPr>
          <w:sz w:val="24"/>
          <w:szCs w:val="24"/>
        </w:rPr>
      </w:pPr>
      <w:r>
        <w:rPr>
          <w:sz w:val="24"/>
          <w:szCs w:val="24"/>
        </w:rPr>
        <w:t>Strategy Indices are typically sponsored by the very provider of the structured financial products relating thereto (or by an affiliate of such product provider). This is why Annex XII No. 4.2.2. (ii) of Regulation (EU) No 486/2012 amending the Prospectus Regulation (EC) No 809/2004) basically treats them as part of the relevant pay-off formula. Requiring any third person to act as the index sponsor would massively change the character of the products (i.e., to constitute rules-based investment strategies hypothetically conducted for the benefit of investors in the product by the relevant product provider).</w:t>
      </w:r>
    </w:p>
    <w:p w:rsidR="005144D5" w:rsidRDefault="005144D5" w:rsidP="005144D5">
      <w:pPr>
        <w:pStyle w:val="AODocTxt"/>
        <w:numPr>
          <w:ilvl w:val="0"/>
          <w:numId w:val="0"/>
        </w:numPr>
        <w:spacing w:line="320" w:lineRule="atLeast"/>
        <w:rPr>
          <w:sz w:val="24"/>
          <w:szCs w:val="24"/>
        </w:rPr>
      </w:pPr>
      <w:r>
        <w:rPr>
          <w:sz w:val="24"/>
          <w:szCs w:val="24"/>
        </w:rPr>
        <w:t>(iv) Chinese walls</w:t>
      </w:r>
    </w:p>
    <w:p w:rsidR="005144D5" w:rsidRDefault="005144D5" w:rsidP="005144D5">
      <w:pPr>
        <w:pStyle w:val="AODocTxt"/>
        <w:numPr>
          <w:ilvl w:val="0"/>
          <w:numId w:val="0"/>
        </w:numPr>
        <w:spacing w:line="320" w:lineRule="atLeast"/>
        <w:rPr>
          <w:sz w:val="24"/>
          <w:szCs w:val="24"/>
        </w:rPr>
      </w:pPr>
      <w:r>
        <w:rPr>
          <w:sz w:val="24"/>
          <w:szCs w:val="24"/>
        </w:rPr>
        <w:t xml:space="preserve">Additional regulation such as, for instance, Chinese walls between distribution and trading departments would not give investors in products linked to Strategy Indices any additional benefit, as </w:t>
      </w:r>
      <w:r>
        <w:rPr>
          <w:sz w:val="24"/>
          <w:szCs w:val="24"/>
          <w:lang w:eastAsia="zh-HK"/>
        </w:rPr>
        <w:t>such investors have a contractual claim to the proper execution of the index description.</w:t>
      </w:r>
    </w:p>
    <w:bookmarkEnd w:id="0"/>
    <w:p w:rsidR="00913F49" w:rsidRPr="00913F49" w:rsidRDefault="00913F49" w:rsidP="00CF62C9">
      <w:pPr>
        <w:spacing w:after="200" w:line="276" w:lineRule="auto"/>
        <w:jc w:val="both"/>
        <w:outlineLvl w:val="0"/>
        <w:rPr>
          <w:rFonts w:ascii="Arial" w:hAnsi="Arial" w:cs="Arial"/>
          <w:sz w:val="22"/>
          <w:szCs w:val="22"/>
          <w:lang w:val="en-US" w:eastAsia="en-US"/>
        </w:rPr>
      </w:pPr>
    </w:p>
    <w:p w:rsidR="00913F49" w:rsidRPr="00913F49" w:rsidRDefault="00913F49" w:rsidP="00913F49">
      <w:pPr>
        <w:spacing w:after="200" w:line="276" w:lineRule="auto"/>
        <w:contextualSpacing/>
        <w:jc w:val="center"/>
        <w:rPr>
          <w:rFonts w:ascii="Arial" w:hAnsi="Arial" w:cs="Arial"/>
          <w:b/>
          <w:sz w:val="22"/>
          <w:szCs w:val="22"/>
          <w:lang w:val="en-US" w:eastAsia="en-US"/>
        </w:rPr>
      </w:pPr>
    </w:p>
    <w:p w:rsidR="00913F49" w:rsidRPr="00913F49" w:rsidRDefault="00913F49" w:rsidP="00913F49">
      <w:pPr>
        <w:spacing w:after="200" w:line="276" w:lineRule="auto"/>
        <w:contextualSpacing/>
        <w:jc w:val="center"/>
        <w:rPr>
          <w:rFonts w:ascii="Arial" w:hAnsi="Arial" w:cs="Arial"/>
          <w:b/>
          <w:sz w:val="22"/>
          <w:szCs w:val="22"/>
          <w:lang w:val="en-US" w:eastAsia="en-US"/>
        </w:rPr>
      </w:pPr>
      <w:r w:rsidRPr="00913F49">
        <w:rPr>
          <w:rFonts w:ascii="Arial" w:hAnsi="Arial" w:cs="Arial"/>
          <w:b/>
          <w:sz w:val="22"/>
          <w:szCs w:val="22"/>
          <w:lang w:val="en-US" w:eastAsia="en-US"/>
        </w:rPr>
        <w:t>*</w:t>
      </w:r>
      <w:r>
        <w:rPr>
          <w:rFonts w:ascii="Arial" w:hAnsi="Arial" w:cs="Arial"/>
          <w:b/>
          <w:sz w:val="22"/>
          <w:szCs w:val="22"/>
          <w:lang w:val="en-US" w:eastAsia="en-US"/>
        </w:rPr>
        <w:t xml:space="preserve"> </w:t>
      </w:r>
      <w:r w:rsidR="00AC4BB9">
        <w:rPr>
          <w:rFonts w:ascii="Arial" w:hAnsi="Arial" w:cs="Arial"/>
          <w:b/>
          <w:sz w:val="22"/>
          <w:szCs w:val="22"/>
          <w:lang w:val="en-US" w:eastAsia="en-US"/>
        </w:rPr>
        <w:t xml:space="preserve"> </w:t>
      </w:r>
      <w:r w:rsidRPr="00913F49">
        <w:rPr>
          <w:rFonts w:ascii="Arial" w:hAnsi="Arial" w:cs="Arial"/>
          <w:b/>
          <w:sz w:val="22"/>
          <w:szCs w:val="22"/>
          <w:lang w:val="en-US" w:eastAsia="en-US"/>
        </w:rPr>
        <w:t>*</w:t>
      </w:r>
      <w:r>
        <w:rPr>
          <w:rFonts w:ascii="Arial" w:hAnsi="Arial" w:cs="Arial"/>
          <w:b/>
          <w:sz w:val="22"/>
          <w:szCs w:val="22"/>
          <w:lang w:val="en-US" w:eastAsia="en-US"/>
        </w:rPr>
        <w:t xml:space="preserve"> </w:t>
      </w:r>
      <w:r w:rsidR="00AC4BB9">
        <w:rPr>
          <w:rFonts w:ascii="Arial" w:hAnsi="Arial" w:cs="Arial"/>
          <w:b/>
          <w:sz w:val="22"/>
          <w:szCs w:val="22"/>
          <w:lang w:val="en-US" w:eastAsia="en-US"/>
        </w:rPr>
        <w:t xml:space="preserve"> </w:t>
      </w:r>
      <w:r w:rsidRPr="00913F49">
        <w:rPr>
          <w:rFonts w:ascii="Arial" w:hAnsi="Arial" w:cs="Arial"/>
          <w:b/>
          <w:sz w:val="22"/>
          <w:szCs w:val="22"/>
          <w:lang w:val="en-US" w:eastAsia="en-US"/>
        </w:rPr>
        <w:t>*</w:t>
      </w:r>
    </w:p>
    <w:p w:rsidR="00BC014B" w:rsidRPr="00913F49" w:rsidRDefault="0070001A" w:rsidP="00D9799C">
      <w:pPr>
        <w:ind w:right="1701"/>
        <w:jc w:val="both"/>
        <w:rPr>
          <w:rFonts w:ascii="Arial" w:hAnsi="Arial" w:cs="Arial"/>
          <w:sz w:val="22"/>
          <w:szCs w:val="22"/>
          <w:lang w:val="en-US"/>
        </w:rPr>
      </w:pPr>
      <w:r>
        <w:rPr>
          <w:rFonts w:ascii="Arial" w:hAnsi="Arial" w:cs="Arial"/>
          <w:noProof/>
          <w:sz w:val="22"/>
          <w:szCs w:val="22"/>
        </w:rPr>
        <w:pict>
          <v:shape id="_x0000_s1055" type="#_x0000_t202" style="position:absolute;left:0;text-align:left;margin-left:459.45pt;margin-top:355.9pt;width:35pt;height:26.3pt;z-index:251660288" stroked="f">
            <v:textbox>
              <w:txbxContent>
                <w:p w:rsidR="0070001A" w:rsidRDefault="0070001A" w:rsidP="0070001A">
                  <w:r>
                    <w:t>3</w:t>
                  </w:r>
                </w:p>
              </w:txbxContent>
            </v:textbox>
          </v:shape>
        </w:pict>
      </w:r>
    </w:p>
    <w:sectPr w:rsidR="00BC014B" w:rsidRPr="00913F49" w:rsidSect="005C3D47">
      <w:headerReference w:type="default" r:id="rId11"/>
      <w:footerReference w:type="default" r:id="rId12"/>
      <w:headerReference w:type="first" r:id="rId13"/>
      <w:footerReference w:type="first" r:id="rId14"/>
      <w:pgSz w:w="11900" w:h="16840"/>
      <w:pgMar w:top="2268" w:right="1418" w:bottom="1134" w:left="1134" w:header="709" w:footer="709" w:gutter="0"/>
      <w:pgNumType w:start="3"/>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B13" w:rsidRDefault="002C1B13" w:rsidP="00847327">
      <w:r>
        <w:separator/>
      </w:r>
    </w:p>
  </w:endnote>
  <w:endnote w:type="continuationSeparator" w:id="1">
    <w:p w:rsidR="002C1B13" w:rsidRDefault="002C1B13" w:rsidP="00847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rateS-Regular">
    <w:panose1 w:val="00000000000000000000"/>
    <w:charset w:val="4D"/>
    <w:family w:val="auto"/>
    <w:notTrueType/>
    <w:pitch w:val="default"/>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47" w:rsidRPr="005C3D47" w:rsidRDefault="005C3D47" w:rsidP="005C3D47">
    <w:pPr>
      <w:pStyle w:val="Footer"/>
      <w:jc w:val="right"/>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B9" w:rsidRDefault="007D2EB9">
    <w:pPr>
      <w:pStyle w:val="Footer"/>
      <w:jc w:val="right"/>
    </w:pPr>
    <w:fldSimple w:instr=" PAGE   \* MERGEFORMAT ">
      <w:r w:rsidR="00890CEE">
        <w:rPr>
          <w:noProof/>
        </w:rPr>
        <w:t>3</w:t>
      </w:r>
    </w:fldSimple>
  </w:p>
  <w:p w:rsidR="003D79B7" w:rsidRDefault="003D7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B13" w:rsidRDefault="002C1B13" w:rsidP="00847327">
      <w:r>
        <w:separator/>
      </w:r>
    </w:p>
  </w:footnote>
  <w:footnote w:type="continuationSeparator" w:id="1">
    <w:p w:rsidR="002C1B13" w:rsidRDefault="002C1B13" w:rsidP="00847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27" w:rsidRDefault="00890CEE">
    <w:pPr>
      <w:pStyle w:val="Header"/>
    </w:pPr>
    <w:r>
      <w:rPr>
        <w:noProof/>
        <w:lang w:val="en-US" w:eastAsia="en-US"/>
      </w:rPr>
      <w:drawing>
        <wp:anchor distT="0" distB="0" distL="114300" distR="114300" simplePos="0" relativeHeight="251658752" behindDoc="0" locked="0" layoutInCell="1" allowOverlap="1">
          <wp:simplePos x="0" y="0"/>
          <wp:positionH relativeFrom="column">
            <wp:posOffset>3699510</wp:posOffset>
          </wp:positionH>
          <wp:positionV relativeFrom="paragraph">
            <wp:posOffset>24765</wp:posOffset>
          </wp:positionV>
          <wp:extent cx="2472690" cy="954405"/>
          <wp:effectExtent l="19050" t="0" r="381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2690" cy="95440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23" w:rsidRDefault="00142B23">
    <w:pPr>
      <w:pStyle w:val="Header"/>
    </w:pPr>
    <w:r>
      <w:rPr>
        <w:noProof/>
      </w:rPr>
      <w:pict>
        <v:group id="_x0000_s2058" style="position:absolute;margin-left:-15.5pt;margin-top:-7.45pt;width:512.65pt;height:117.85pt;z-index:251657728" coordorigin="1068,481" coordsize="10370,2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9" type="#_x0000_t75" style="position:absolute;left:7544;top:481;width:3894;height:1503;visibility:visible">
            <v:imagedata r:id="rId1" o:title=""/>
          </v:shape>
          <v:shapetype id="_x0000_t202" coordsize="21600,21600" o:spt="202" path="m,l,21600r21600,l21600,xe">
            <v:stroke joinstyle="miter"/>
            <v:path gradientshapeok="t" o:connecttype="rect"/>
          </v:shapetype>
          <v:shape id="_x0000_s2060" type="#_x0000_t202" style="position:absolute;left:1068;top:2399;width:6891;height:439" stroked="f">
            <v:textbox style="mso-next-textbox:#_x0000_s2060">
              <w:txbxContent>
                <w:p w:rsidR="00142B23" w:rsidRPr="008E1B88" w:rsidRDefault="00142B23" w:rsidP="00142B23">
                  <w:pPr>
                    <w:rPr>
                      <w:rFonts w:ascii="Arial Narrow" w:hAnsi="Arial Narrow"/>
                      <w:color w:val="808080"/>
                      <w:sz w:val="16"/>
                      <w:szCs w:val="16"/>
                      <w:lang w:val="fr-BE"/>
                    </w:rPr>
                  </w:pPr>
                </w:p>
              </w:txbxContent>
            </v:textbox>
          </v:shape>
          <v:shapetype id="_x0000_t32" coordsize="21600,21600" o:spt="32" o:oned="t" path="m,l21600,21600e" filled="f">
            <v:path arrowok="t" fillok="f" o:connecttype="none"/>
            <o:lock v:ext="edit" shapetype="t"/>
          </v:shapetype>
          <v:shape id="_x0000_s2061" type="#_x0000_t32" style="position:absolute;left:1185;top:2270;width:10136;height:0" o:connectortype="straight" strokecolor="#a5a5a5"/>
        </v:group>
      </w:pict>
    </w:r>
    <w:r>
      <w:rPr>
        <w:noProof/>
      </w:rPr>
      <w:pict>
        <v:shape id="_x0000_s2057" type="#_x0000_t202" style="position:absolute;margin-left:396.65pt;margin-top:29.85pt;width:116.45pt;height:750.7pt;z-index:251656704" stroked="f">
          <v:textbox style="mso-next-textbox:#_x0000_s2057">
            <w:txbxContent>
              <w:p w:rsidR="00142B23" w:rsidRDefault="00142B23" w:rsidP="00142B23">
                <w:pPr>
                  <w:rPr>
                    <w:rFonts w:ascii="Arial Narrow" w:hAnsi="Arial Narrow"/>
                    <w:sz w:val="16"/>
                    <w:szCs w:val="16"/>
                    <w:lang w:val="fr-BE"/>
                  </w:rPr>
                </w:pPr>
              </w:p>
              <w:p w:rsidR="00142B23" w:rsidRDefault="00142B23" w:rsidP="00142B23">
                <w:pPr>
                  <w:rPr>
                    <w:rFonts w:ascii="Arial Narrow" w:hAnsi="Arial Narrow"/>
                    <w:sz w:val="16"/>
                    <w:szCs w:val="16"/>
                    <w:lang w:val="fr-BE"/>
                  </w:rPr>
                </w:pPr>
              </w:p>
              <w:p w:rsidR="00142B23" w:rsidRDefault="00142B23" w:rsidP="00142B23">
                <w:pPr>
                  <w:rPr>
                    <w:rFonts w:ascii="Arial Narrow" w:hAnsi="Arial Narrow"/>
                    <w:sz w:val="16"/>
                    <w:szCs w:val="16"/>
                    <w:lang w:val="fr-BE"/>
                  </w:rPr>
                </w:pPr>
              </w:p>
              <w:p w:rsidR="00142B23" w:rsidRDefault="00142B23" w:rsidP="00142B23">
                <w:pPr>
                  <w:rPr>
                    <w:rFonts w:ascii="Arial Narrow" w:hAnsi="Arial Narrow"/>
                    <w:sz w:val="16"/>
                    <w:szCs w:val="16"/>
                    <w:lang w:val="fr-BE"/>
                  </w:rPr>
                </w:pPr>
              </w:p>
              <w:p w:rsidR="00142B23" w:rsidRDefault="00142B23" w:rsidP="00142B23">
                <w:pPr>
                  <w:rPr>
                    <w:rFonts w:ascii="Arial Narrow" w:hAnsi="Arial Narrow"/>
                    <w:sz w:val="16"/>
                    <w:szCs w:val="16"/>
                    <w:lang w:val="fr-BE"/>
                  </w:rPr>
                </w:pPr>
              </w:p>
              <w:p w:rsidR="00142B23" w:rsidRDefault="00142B23" w:rsidP="00142B23">
                <w:pPr>
                  <w:rPr>
                    <w:rFonts w:ascii="Arial Narrow" w:hAnsi="Arial Narrow"/>
                    <w:sz w:val="16"/>
                    <w:szCs w:val="16"/>
                    <w:lang w:val="fr-BE"/>
                  </w:rPr>
                </w:pPr>
              </w:p>
              <w:p w:rsidR="00142B23" w:rsidRDefault="00142B23" w:rsidP="00142B23">
                <w:pPr>
                  <w:rPr>
                    <w:rFonts w:ascii="Arial Narrow" w:hAnsi="Arial Narrow"/>
                    <w:sz w:val="16"/>
                    <w:szCs w:val="16"/>
                    <w:lang w:val="fr-BE"/>
                  </w:rPr>
                </w:pP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Bastion Tower Level 20</w:t>
                </w: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5 Place du Champ de Mars</w:t>
                </w: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B-1050 Brussels</w:t>
                </w: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Phone 0032 (0) 2 550 34 15</w:t>
                </w: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Fax  0032 (0) 2 550 34 16</w:t>
                </w: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 xml:space="preserve">Mail </w:t>
                </w:r>
                <w:hyperlink r:id="rId2" w:history="1">
                  <w:r w:rsidRPr="008E1B88">
                    <w:rPr>
                      <w:rStyle w:val="Hyperlink"/>
                      <w:rFonts w:ascii="Arial Narrow" w:hAnsi="Arial Narrow"/>
                      <w:color w:val="808080"/>
                      <w:sz w:val="16"/>
                      <w:szCs w:val="16"/>
                      <w:u w:val="none"/>
                      <w:lang w:val="fr-BE"/>
                    </w:rPr>
                    <w:t>secretariat@</w:t>
                  </w:r>
                  <w:r w:rsidR="0071290E">
                    <w:rPr>
                      <w:rStyle w:val="Hyperlink"/>
                      <w:rFonts w:ascii="Arial Narrow" w:hAnsi="Arial Narrow"/>
                      <w:color w:val="808080"/>
                      <w:sz w:val="16"/>
                      <w:szCs w:val="16"/>
                      <w:u w:val="none"/>
                      <w:lang w:val="fr-BE"/>
                    </w:rPr>
                    <w:t>eusipa</w:t>
                  </w:r>
                  <w:r w:rsidRPr="008E1B88">
                    <w:rPr>
                      <w:rStyle w:val="Hyperlink"/>
                      <w:rFonts w:ascii="Arial Narrow" w:hAnsi="Arial Narrow"/>
                      <w:color w:val="808080"/>
                      <w:sz w:val="16"/>
                      <w:szCs w:val="16"/>
                      <w:u w:val="none"/>
                      <w:lang w:val="fr-BE"/>
                    </w:rPr>
                    <w:t>.org</w:t>
                  </w:r>
                </w:hyperlink>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ab/>
                  <w:t xml:space="preserve">   </w:t>
                </w: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www.</w:t>
                </w:r>
                <w:r w:rsidR="0071290E">
                  <w:rPr>
                    <w:rFonts w:ascii="Arial Narrow" w:hAnsi="Arial Narrow"/>
                    <w:color w:val="808080"/>
                    <w:sz w:val="16"/>
                    <w:szCs w:val="16"/>
                    <w:lang w:val="fr-BE"/>
                  </w:rPr>
                  <w:t>eusipa</w:t>
                </w:r>
                <w:r w:rsidRPr="008E1B88">
                  <w:rPr>
                    <w:rFonts w:ascii="Arial Narrow" w:hAnsi="Arial Narrow"/>
                    <w:color w:val="808080"/>
                    <w:sz w:val="16"/>
                    <w:szCs w:val="16"/>
                    <w:lang w:val="fr-BE"/>
                  </w:rPr>
                  <w:t>.org</w:t>
                </w: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President</w:t>
                </w: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Reinhard Bellet</w:t>
                </w:r>
              </w:p>
              <w:p w:rsidR="00142B23" w:rsidRPr="008E1B88" w:rsidRDefault="00142B23" w:rsidP="00142B23">
                <w:pPr>
                  <w:rPr>
                    <w:rFonts w:ascii="Arial Narrow" w:hAnsi="Arial Narrow"/>
                    <w:color w:val="808080"/>
                    <w:sz w:val="16"/>
                    <w:szCs w:val="16"/>
                    <w:lang w:val="fr-BE"/>
                  </w:rPr>
                </w:pPr>
              </w:p>
              <w:p w:rsidR="00142B23" w:rsidRPr="008E1B88" w:rsidRDefault="00142B23" w:rsidP="00142B23">
                <w:pPr>
                  <w:rPr>
                    <w:rFonts w:ascii="Arial Narrow" w:hAnsi="Arial Narrow"/>
                    <w:color w:val="808080"/>
                    <w:sz w:val="16"/>
                    <w:szCs w:val="16"/>
                    <w:lang w:val="en-US"/>
                  </w:rPr>
                </w:pPr>
                <w:r w:rsidRPr="008E1B88">
                  <w:rPr>
                    <w:rFonts w:ascii="Arial Narrow" w:hAnsi="Arial Narrow"/>
                    <w:color w:val="808080"/>
                    <w:sz w:val="16"/>
                    <w:szCs w:val="16"/>
                    <w:lang w:val="en-US"/>
                  </w:rPr>
                  <w:t>Vice-President</w:t>
                </w:r>
              </w:p>
              <w:p w:rsidR="00142B23" w:rsidRPr="008E1B88" w:rsidRDefault="00142B23" w:rsidP="00142B23">
                <w:pPr>
                  <w:rPr>
                    <w:rFonts w:ascii="Arial Narrow" w:hAnsi="Arial Narrow"/>
                    <w:color w:val="808080"/>
                    <w:sz w:val="16"/>
                    <w:szCs w:val="16"/>
                    <w:lang w:val="en-US"/>
                  </w:rPr>
                </w:pPr>
                <w:r w:rsidRPr="008E1B88">
                  <w:rPr>
                    <w:rFonts w:ascii="Arial Narrow" w:hAnsi="Arial Narrow"/>
                    <w:color w:val="808080"/>
                    <w:sz w:val="16"/>
                    <w:szCs w:val="16"/>
                    <w:lang w:val="en-US"/>
                  </w:rPr>
                  <w:t>Roger Studer</w:t>
                </w:r>
              </w:p>
              <w:p w:rsidR="00142B23" w:rsidRPr="008E1B88" w:rsidRDefault="00142B23" w:rsidP="00142B23">
                <w:pPr>
                  <w:rPr>
                    <w:rFonts w:ascii="Arial Narrow" w:hAnsi="Arial Narrow"/>
                    <w:color w:val="808080"/>
                    <w:sz w:val="16"/>
                    <w:szCs w:val="16"/>
                    <w:lang w:val="en-US"/>
                  </w:rPr>
                </w:pPr>
              </w:p>
              <w:p w:rsidR="00142B23" w:rsidRPr="008E1B88" w:rsidRDefault="00142B23" w:rsidP="00142B23">
                <w:pPr>
                  <w:rPr>
                    <w:rFonts w:ascii="Arial Narrow" w:hAnsi="Arial Narrow"/>
                    <w:color w:val="808080"/>
                    <w:sz w:val="16"/>
                    <w:szCs w:val="16"/>
                    <w:lang w:val="en-US"/>
                  </w:rPr>
                </w:pPr>
                <w:r w:rsidRPr="008E1B88">
                  <w:rPr>
                    <w:rFonts w:ascii="Arial Narrow" w:hAnsi="Arial Narrow"/>
                    <w:color w:val="808080"/>
                    <w:sz w:val="16"/>
                    <w:szCs w:val="16"/>
                    <w:lang w:val="en-US"/>
                  </w:rPr>
                  <w:t>Board of Directors</w:t>
                </w:r>
              </w:p>
              <w:p w:rsidR="00142B23" w:rsidRPr="008E1B88" w:rsidRDefault="00142B23" w:rsidP="00142B23">
                <w:pPr>
                  <w:rPr>
                    <w:rFonts w:ascii="Arial Narrow" w:hAnsi="Arial Narrow"/>
                    <w:color w:val="808080"/>
                    <w:sz w:val="16"/>
                    <w:szCs w:val="16"/>
                    <w:lang w:val="en-US"/>
                  </w:rPr>
                </w:pPr>
                <w:r w:rsidRPr="008E1B88">
                  <w:rPr>
                    <w:rFonts w:ascii="Arial Narrow" w:hAnsi="Arial Narrow"/>
                    <w:color w:val="808080"/>
                    <w:sz w:val="16"/>
                    <w:szCs w:val="16"/>
                    <w:lang w:val="en-US"/>
                  </w:rPr>
                  <w:t>Tommy Fransson</w:t>
                </w:r>
              </w:p>
              <w:p w:rsidR="00142B23" w:rsidRPr="008E1B88" w:rsidRDefault="00142B23" w:rsidP="00142B23">
                <w:pPr>
                  <w:rPr>
                    <w:rFonts w:ascii="Arial Narrow" w:hAnsi="Arial Narrow"/>
                    <w:color w:val="808080"/>
                    <w:sz w:val="16"/>
                    <w:szCs w:val="16"/>
                    <w:lang w:val="en-US"/>
                  </w:rPr>
                </w:pPr>
                <w:r w:rsidRPr="008E1B88">
                  <w:rPr>
                    <w:rFonts w:ascii="Arial Narrow" w:hAnsi="Arial Narrow"/>
                    <w:color w:val="808080"/>
                    <w:sz w:val="16"/>
                    <w:szCs w:val="16"/>
                    <w:lang w:val="en-US"/>
                  </w:rPr>
                  <w:t>Thibault Gobert</w:t>
                </w:r>
              </w:p>
              <w:p w:rsidR="00142B23" w:rsidRPr="008E1B88" w:rsidRDefault="00142B23" w:rsidP="00142B23">
                <w:pPr>
                  <w:rPr>
                    <w:rFonts w:ascii="Arial Narrow" w:hAnsi="Arial Narrow"/>
                    <w:color w:val="808080"/>
                    <w:sz w:val="16"/>
                    <w:szCs w:val="16"/>
                  </w:rPr>
                </w:pPr>
                <w:r w:rsidRPr="008E1B88">
                  <w:rPr>
                    <w:rFonts w:ascii="Arial Narrow" w:hAnsi="Arial Narrow"/>
                    <w:color w:val="808080"/>
                    <w:sz w:val="16"/>
                    <w:szCs w:val="16"/>
                  </w:rPr>
                  <w:t>Dr Hartmut Knüppel</w:t>
                </w:r>
              </w:p>
              <w:p w:rsidR="00E50C17" w:rsidRPr="008E1B88" w:rsidRDefault="00E50C17" w:rsidP="00E50C17">
                <w:pPr>
                  <w:rPr>
                    <w:rFonts w:ascii="Arial Narrow" w:hAnsi="Arial Narrow"/>
                    <w:color w:val="808080"/>
                    <w:sz w:val="16"/>
                    <w:szCs w:val="16"/>
                    <w:lang w:val="en-US"/>
                  </w:rPr>
                </w:pPr>
                <w:r>
                  <w:rPr>
                    <w:rFonts w:ascii="Arial Narrow" w:hAnsi="Arial Narrow"/>
                    <w:color w:val="808080"/>
                    <w:sz w:val="16"/>
                    <w:szCs w:val="16"/>
                    <w:lang w:val="en-US"/>
                  </w:rPr>
                  <w:t>Dario Savoia</w:t>
                </w:r>
              </w:p>
              <w:p w:rsidR="00142B23" w:rsidRPr="008E1B88" w:rsidRDefault="00142B23" w:rsidP="00142B23">
                <w:pPr>
                  <w:rPr>
                    <w:rFonts w:ascii="Arial Narrow" w:hAnsi="Arial Narrow"/>
                    <w:color w:val="808080"/>
                    <w:sz w:val="16"/>
                    <w:szCs w:val="16"/>
                  </w:rPr>
                </w:pPr>
                <w:r w:rsidRPr="008E1B88">
                  <w:rPr>
                    <w:rFonts w:ascii="Arial Narrow" w:hAnsi="Arial Narrow"/>
                    <w:color w:val="808080"/>
                    <w:sz w:val="16"/>
                    <w:szCs w:val="16"/>
                  </w:rPr>
                  <w:t>Jürg Stähelin</w:t>
                </w:r>
              </w:p>
              <w:p w:rsidR="00142B23" w:rsidRPr="008E1B88" w:rsidRDefault="00142B23" w:rsidP="00142B23">
                <w:pPr>
                  <w:rPr>
                    <w:rFonts w:ascii="Arial Narrow" w:hAnsi="Arial Narrow"/>
                    <w:color w:val="808080"/>
                    <w:sz w:val="16"/>
                    <w:szCs w:val="16"/>
                  </w:rPr>
                </w:pPr>
                <w:r w:rsidRPr="008E1B88">
                  <w:rPr>
                    <w:rFonts w:ascii="Arial Narrow" w:hAnsi="Arial Narrow"/>
                    <w:color w:val="808080"/>
                    <w:sz w:val="16"/>
                    <w:szCs w:val="16"/>
                  </w:rPr>
                  <w:t>Frank Weingarts</w:t>
                </w:r>
              </w:p>
              <w:p w:rsidR="00142B23" w:rsidRPr="008E1B88" w:rsidRDefault="00142B23" w:rsidP="00142B23">
                <w:pPr>
                  <w:rPr>
                    <w:rFonts w:ascii="Arial Narrow" w:hAnsi="Arial Narrow"/>
                    <w:color w:val="808080"/>
                    <w:sz w:val="16"/>
                    <w:szCs w:val="16"/>
                  </w:rPr>
                </w:pPr>
                <w:r w:rsidRPr="008E1B88">
                  <w:rPr>
                    <w:rFonts w:ascii="Arial Narrow" w:hAnsi="Arial Narrow"/>
                    <w:color w:val="808080"/>
                    <w:sz w:val="16"/>
                    <w:szCs w:val="16"/>
                  </w:rPr>
                  <w:t xml:space="preserve"> </w:t>
                </w:r>
              </w:p>
              <w:p w:rsidR="00142B23" w:rsidRPr="008E1B88" w:rsidRDefault="00142B23" w:rsidP="00142B23">
                <w:pPr>
                  <w:rPr>
                    <w:rFonts w:ascii="Arial Narrow" w:hAnsi="Arial Narrow"/>
                    <w:color w:val="808080"/>
                    <w:sz w:val="16"/>
                    <w:szCs w:val="16"/>
                    <w:lang w:val="en-US"/>
                  </w:rPr>
                </w:pPr>
                <w:r w:rsidRPr="008E1B88">
                  <w:rPr>
                    <w:rFonts w:ascii="Arial Narrow" w:hAnsi="Arial Narrow"/>
                    <w:color w:val="808080"/>
                    <w:sz w:val="16"/>
                    <w:szCs w:val="16"/>
                    <w:lang w:val="en-US"/>
                  </w:rPr>
                  <w:t>Secretary General</w:t>
                </w:r>
              </w:p>
              <w:p w:rsidR="00142B23" w:rsidRPr="008E1B88" w:rsidRDefault="00142B23" w:rsidP="00142B23">
                <w:pPr>
                  <w:rPr>
                    <w:rFonts w:ascii="Arial Narrow" w:hAnsi="Arial Narrow"/>
                    <w:color w:val="808080"/>
                    <w:sz w:val="16"/>
                    <w:szCs w:val="16"/>
                    <w:lang w:val="en-US"/>
                  </w:rPr>
                </w:pPr>
                <w:r w:rsidRPr="008E1B88">
                  <w:rPr>
                    <w:rFonts w:ascii="Arial Narrow" w:hAnsi="Arial Narrow"/>
                    <w:color w:val="808080"/>
                    <w:sz w:val="16"/>
                    <w:szCs w:val="16"/>
                    <w:lang w:val="en-US"/>
                  </w:rPr>
                  <w:t>Thomas Wulf</w:t>
                </w:r>
              </w:p>
              <w:p w:rsidR="00142B23" w:rsidRPr="008E1B88" w:rsidRDefault="00142B23" w:rsidP="00142B23">
                <w:pPr>
                  <w:rPr>
                    <w:rFonts w:ascii="Arial Narrow" w:hAnsi="Arial Narrow"/>
                    <w:color w:val="808080"/>
                    <w:sz w:val="16"/>
                    <w:szCs w:val="16"/>
                    <w:lang w:val="en-US"/>
                  </w:rPr>
                </w:pPr>
              </w:p>
              <w:p w:rsidR="00142B23" w:rsidRPr="008E1B88" w:rsidRDefault="00142B23" w:rsidP="00142B23">
                <w:pPr>
                  <w:rPr>
                    <w:rFonts w:ascii="Arial Narrow" w:hAnsi="Arial Narrow"/>
                    <w:color w:val="808080"/>
                    <w:sz w:val="16"/>
                    <w:szCs w:val="16"/>
                    <w:lang w:val="en-US"/>
                  </w:rPr>
                </w:pPr>
                <w:r w:rsidRPr="008E1B88">
                  <w:rPr>
                    <w:rFonts w:ascii="Arial Narrow" w:hAnsi="Arial Narrow"/>
                    <w:color w:val="808080"/>
                    <w:sz w:val="16"/>
                    <w:szCs w:val="16"/>
                    <w:lang w:val="en-US"/>
                  </w:rPr>
                  <w:t>Bank Account</w:t>
                </w:r>
              </w:p>
              <w:p w:rsidR="00142B23" w:rsidRPr="008E1B88" w:rsidRDefault="00142B23" w:rsidP="00142B23">
                <w:pPr>
                  <w:rPr>
                    <w:rFonts w:ascii="Arial Narrow" w:hAnsi="Arial Narrow"/>
                    <w:color w:val="808080"/>
                    <w:sz w:val="16"/>
                    <w:szCs w:val="16"/>
                    <w:lang w:val="en-US"/>
                  </w:rPr>
                </w:pPr>
                <w:r w:rsidRPr="008E1B88">
                  <w:rPr>
                    <w:rFonts w:ascii="Arial Narrow" w:hAnsi="Arial Narrow"/>
                    <w:color w:val="808080"/>
                    <w:sz w:val="16"/>
                    <w:szCs w:val="16"/>
                    <w:lang w:val="en-US"/>
                  </w:rPr>
                  <w:t xml:space="preserve">ING Belgium </w:t>
                </w:r>
              </w:p>
              <w:p w:rsidR="00142B23" w:rsidRPr="008E1B88" w:rsidRDefault="00142B23" w:rsidP="00142B23">
                <w:pPr>
                  <w:rPr>
                    <w:rFonts w:ascii="Arial Narrow" w:hAnsi="Arial Narrow"/>
                    <w:color w:val="808080"/>
                    <w:sz w:val="16"/>
                    <w:szCs w:val="16"/>
                    <w:lang w:val="en-US"/>
                  </w:rPr>
                </w:pPr>
                <w:r w:rsidRPr="008E1B88">
                  <w:rPr>
                    <w:rFonts w:ascii="Arial Narrow" w:hAnsi="Arial Narrow"/>
                    <w:color w:val="808080"/>
                    <w:sz w:val="16"/>
                    <w:szCs w:val="16"/>
                    <w:lang w:val="en-US"/>
                  </w:rPr>
                  <w:t>IBAN: BE 53 310177409753</w:t>
                </w:r>
              </w:p>
              <w:p w:rsidR="00142B23" w:rsidRPr="008E1B88" w:rsidRDefault="00142B23" w:rsidP="00142B23">
                <w:pPr>
                  <w:rPr>
                    <w:rFonts w:ascii="Arial Narrow" w:hAnsi="Arial Narrow"/>
                    <w:color w:val="808080"/>
                    <w:sz w:val="16"/>
                    <w:szCs w:val="16"/>
                    <w:lang w:val="en-US"/>
                  </w:rPr>
                </w:pPr>
                <w:r w:rsidRPr="008E1B88">
                  <w:rPr>
                    <w:rFonts w:ascii="Arial Narrow" w:hAnsi="Arial Narrow"/>
                    <w:color w:val="808080"/>
                    <w:sz w:val="16"/>
                    <w:szCs w:val="16"/>
                    <w:lang w:val="en-US"/>
                  </w:rPr>
                  <w:t>BIC: BBRUBEBB</w:t>
                </w:r>
              </w:p>
              <w:p w:rsidR="00142B23" w:rsidRPr="008E1B88" w:rsidRDefault="00142B23" w:rsidP="00142B23">
                <w:pPr>
                  <w:rPr>
                    <w:rFonts w:ascii="Arial Narrow" w:hAnsi="Arial Narrow"/>
                    <w:color w:val="808080"/>
                    <w:sz w:val="16"/>
                    <w:szCs w:val="16"/>
                    <w:lang w:val="en-US"/>
                  </w:rPr>
                </w:pPr>
              </w:p>
              <w:p w:rsidR="00142B23" w:rsidRPr="008E1B88" w:rsidRDefault="008F4179" w:rsidP="00142B23">
                <w:pPr>
                  <w:rPr>
                    <w:rFonts w:ascii="Arial Narrow" w:hAnsi="Arial Narrow"/>
                    <w:color w:val="808080"/>
                    <w:sz w:val="16"/>
                    <w:szCs w:val="16"/>
                    <w:lang w:val="fr-BE"/>
                  </w:rPr>
                </w:pPr>
                <w:r>
                  <w:rPr>
                    <w:rFonts w:ascii="Arial Narrow" w:hAnsi="Arial Narrow"/>
                    <w:color w:val="808080"/>
                    <w:sz w:val="16"/>
                    <w:szCs w:val="16"/>
                    <w:lang w:val="fr-BE"/>
                  </w:rPr>
                  <w:t>International Non-</w:t>
                </w:r>
                <w:r w:rsidR="00142B23" w:rsidRPr="008E1B88">
                  <w:rPr>
                    <w:rFonts w:ascii="Arial Narrow" w:hAnsi="Arial Narrow"/>
                    <w:color w:val="808080"/>
                    <w:sz w:val="16"/>
                    <w:szCs w:val="16"/>
                    <w:lang w:val="fr-BE"/>
                  </w:rPr>
                  <w:t>Profit Association</w:t>
                </w: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 xml:space="preserve">(Association Internationale </w:t>
                </w: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Sans But Lucratif)</w:t>
                </w:r>
              </w:p>
              <w:p w:rsidR="00142B23" w:rsidRPr="008E1B88" w:rsidRDefault="00142B23" w:rsidP="00142B23">
                <w:pPr>
                  <w:rPr>
                    <w:rFonts w:ascii="Arial Narrow" w:hAnsi="Arial Narrow"/>
                    <w:color w:val="808080"/>
                    <w:sz w:val="16"/>
                    <w:szCs w:val="16"/>
                    <w:lang w:val="fr-BE"/>
                  </w:rPr>
                </w:pPr>
                <w:r w:rsidRPr="008E1B88">
                  <w:rPr>
                    <w:rFonts w:ascii="Arial Narrow" w:hAnsi="Arial Narrow"/>
                    <w:color w:val="808080"/>
                    <w:sz w:val="16"/>
                    <w:szCs w:val="16"/>
                    <w:lang w:val="fr-BE"/>
                  </w:rPr>
                  <w:t xml:space="preserve">R.L.E. (Brussels): </w:t>
                </w:r>
                <w:r w:rsidR="008F4179">
                  <w:rPr>
                    <w:rFonts w:ascii="Arial Narrow" w:hAnsi="Arial Narrow"/>
                    <w:color w:val="808080"/>
                    <w:sz w:val="16"/>
                    <w:szCs w:val="16"/>
                    <w:lang w:val="fr-BE"/>
                  </w:rPr>
                  <w:t>0806.241.432</w:t>
                </w:r>
              </w:p>
              <w:p w:rsidR="00142B23" w:rsidRPr="008E1B88" w:rsidRDefault="00142B23" w:rsidP="00142B23">
                <w:pPr>
                  <w:rPr>
                    <w:rFonts w:ascii="Arial Narrow" w:hAnsi="Arial Narrow"/>
                    <w:color w:val="808080"/>
                    <w:sz w:val="16"/>
                    <w:szCs w:val="16"/>
                    <w:lang w:val="fr-BE"/>
                  </w:rPr>
                </w:pPr>
              </w:p>
              <w:p w:rsidR="00142B23" w:rsidRPr="00847327" w:rsidRDefault="00142B23" w:rsidP="00142B23">
                <w:pPr>
                  <w:rPr>
                    <w:rFonts w:ascii="Arial Narrow" w:hAnsi="Arial Narrow"/>
                    <w:sz w:val="16"/>
                    <w:szCs w:val="16"/>
                    <w:lang w:val="fr-BE"/>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DF0"/>
    <w:multiLevelType w:val="hybridMultilevel"/>
    <w:tmpl w:val="4906C5CC"/>
    <w:lvl w:ilvl="0" w:tplc="941ED1A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
    <w:nsid w:val="0B9756B3"/>
    <w:multiLevelType w:val="hybridMultilevel"/>
    <w:tmpl w:val="AE5EB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61FA0"/>
    <w:multiLevelType w:val="hybridMultilevel"/>
    <w:tmpl w:val="1938F1D4"/>
    <w:lvl w:ilvl="0" w:tplc="0409000F">
      <w:start w:val="1"/>
      <w:numFmt w:val="decimal"/>
      <w:lvlText w:val="%1."/>
      <w:lvlJc w:val="left"/>
      <w:pPr>
        <w:tabs>
          <w:tab w:val="num" w:pos="2061"/>
        </w:tabs>
        <w:ind w:left="2061" w:hanging="360"/>
      </w:pPr>
      <w:rPr>
        <w:rFonts w:hint="default"/>
      </w:rPr>
    </w:lvl>
    <w:lvl w:ilvl="1" w:tplc="941ED1A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D91711"/>
    <w:multiLevelType w:val="hybridMultilevel"/>
    <w:tmpl w:val="2514E822"/>
    <w:lvl w:ilvl="0" w:tplc="3186579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A2D18"/>
    <w:multiLevelType w:val="hybridMultilevel"/>
    <w:tmpl w:val="7BEA65E0"/>
    <w:lvl w:ilvl="0" w:tplc="0809000F">
      <w:start w:val="1"/>
      <w:numFmt w:val="decimal"/>
      <w:lvlText w:val="%1."/>
      <w:lvlJc w:val="left"/>
      <w:pPr>
        <w:tabs>
          <w:tab w:val="num" w:pos="1240"/>
        </w:tabs>
        <w:ind w:left="1240" w:hanging="360"/>
      </w:pPr>
      <w:rPr>
        <w:rFonts w:hint="default"/>
      </w:rPr>
    </w:lvl>
    <w:lvl w:ilvl="1" w:tplc="9E546ACA">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137DCA"/>
    <w:multiLevelType w:val="hybridMultilevel"/>
    <w:tmpl w:val="C96A7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127EC"/>
    <w:multiLevelType w:val="hybridMultilevel"/>
    <w:tmpl w:val="8C38C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D75C4C"/>
    <w:multiLevelType w:val="hybridMultilevel"/>
    <w:tmpl w:val="502ACF8C"/>
    <w:lvl w:ilvl="0" w:tplc="0809000F">
      <w:start w:val="1"/>
      <w:numFmt w:val="decimal"/>
      <w:lvlText w:val="%1."/>
      <w:lvlJc w:val="left"/>
      <w:pPr>
        <w:tabs>
          <w:tab w:val="num" w:pos="928"/>
        </w:tabs>
        <w:ind w:left="928" w:hanging="360"/>
      </w:pPr>
      <w:rPr>
        <w:rFonts w:hint="default"/>
      </w:rPr>
    </w:lvl>
    <w:lvl w:ilvl="1" w:tplc="9E546ACA">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ACB0124"/>
    <w:multiLevelType w:val="hybridMultilevel"/>
    <w:tmpl w:val="EE4A16B6"/>
    <w:lvl w:ilvl="0" w:tplc="9BB87A5A">
      <w:start w:val="2"/>
      <w:numFmt w:val="bullet"/>
      <w:lvlText w:val="-"/>
      <w:lvlJc w:val="left"/>
      <w:pPr>
        <w:ind w:left="2844" w:hanging="360"/>
      </w:pPr>
      <w:rPr>
        <w:rFonts w:ascii="Calibri" w:eastAsia="Times New Roman" w:hAnsi="Calibri" w:cs="Calibri"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9">
    <w:nsid w:val="1D725F9C"/>
    <w:multiLevelType w:val="hybridMultilevel"/>
    <w:tmpl w:val="72B8714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21131B7"/>
    <w:multiLevelType w:val="hybridMultilevel"/>
    <w:tmpl w:val="FD369B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241D254D"/>
    <w:multiLevelType w:val="hybridMultilevel"/>
    <w:tmpl w:val="9222B914"/>
    <w:lvl w:ilvl="0" w:tplc="C3CAB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D11FFE"/>
    <w:multiLevelType w:val="hybridMultilevel"/>
    <w:tmpl w:val="335CB9AA"/>
    <w:lvl w:ilvl="0" w:tplc="9BB87A5A">
      <w:start w:val="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9E27C59"/>
    <w:multiLevelType w:val="hybridMultilevel"/>
    <w:tmpl w:val="0FE2A5F0"/>
    <w:lvl w:ilvl="0" w:tplc="67963E22">
      <w:start w:val="1"/>
      <w:numFmt w:val="lowerLetter"/>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530CC"/>
    <w:multiLevelType w:val="hybridMultilevel"/>
    <w:tmpl w:val="AE768B10"/>
    <w:lvl w:ilvl="0" w:tplc="6E7276F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nsid w:val="2DA677E0"/>
    <w:multiLevelType w:val="hybridMultilevel"/>
    <w:tmpl w:val="BCEC5E0E"/>
    <w:lvl w:ilvl="0" w:tplc="155A8F0E">
      <w:start w:val="16"/>
      <w:numFmt w:val="decimal"/>
      <w:lvlText w:val="%1."/>
      <w:lvlJc w:val="left"/>
      <w:pPr>
        <w:tabs>
          <w:tab w:val="num" w:pos="360"/>
        </w:tabs>
        <w:ind w:left="360" w:hanging="360"/>
      </w:pPr>
      <w:rPr>
        <w:rFonts w:hint="default"/>
      </w:rPr>
    </w:lvl>
    <w:lvl w:ilvl="1" w:tplc="941ED1A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F0A4732"/>
    <w:multiLevelType w:val="hybridMultilevel"/>
    <w:tmpl w:val="0BC0044A"/>
    <w:lvl w:ilvl="0" w:tplc="941ED1A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08354AA"/>
    <w:multiLevelType w:val="hybridMultilevel"/>
    <w:tmpl w:val="35E041C4"/>
    <w:lvl w:ilvl="0" w:tplc="9BB87A5A">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0001BB"/>
    <w:multiLevelType w:val="hybridMultilevel"/>
    <w:tmpl w:val="4F1C5A3C"/>
    <w:lvl w:ilvl="0" w:tplc="C6A0749E">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316D64C6"/>
    <w:multiLevelType w:val="hybridMultilevel"/>
    <w:tmpl w:val="B0AEB422"/>
    <w:lvl w:ilvl="0" w:tplc="FD868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C361C"/>
    <w:multiLevelType w:val="hybridMultilevel"/>
    <w:tmpl w:val="04F45AD4"/>
    <w:lvl w:ilvl="0" w:tplc="587CE634">
      <w:start w:val="1"/>
      <w:numFmt w:val="decimal"/>
      <w:lvlText w:val="%1."/>
      <w:lvlJc w:val="left"/>
      <w:pPr>
        <w:ind w:left="720" w:hanging="360"/>
      </w:pPr>
      <w:rPr>
        <w:rFonts w:ascii="Arial" w:hAnsi="Arial" w:cs="Times New Roman" w:hint="default"/>
        <w:b w:val="0"/>
        <w:i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3E806D0"/>
    <w:multiLevelType w:val="hybridMultilevel"/>
    <w:tmpl w:val="91B2E882"/>
    <w:lvl w:ilvl="0" w:tplc="0186B83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C2E4E"/>
    <w:multiLevelType w:val="hybridMultilevel"/>
    <w:tmpl w:val="050E5A8E"/>
    <w:lvl w:ilvl="0" w:tplc="26642378">
      <w:start w:val="1"/>
      <w:numFmt w:val="decimal"/>
      <w:lvlText w:val="%1."/>
      <w:lvlJc w:val="left"/>
      <w:pPr>
        <w:ind w:left="720" w:hanging="360"/>
      </w:pPr>
      <w:rPr>
        <w:rFonts w:cs="Times New Roman" w:hint="default"/>
        <w:b/>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397A497C"/>
    <w:multiLevelType w:val="hybridMultilevel"/>
    <w:tmpl w:val="A484EDE2"/>
    <w:lvl w:ilvl="0" w:tplc="5D529280">
      <w:start w:val="21"/>
      <w:numFmt w:val="bullet"/>
      <w:lvlText w:val="-"/>
      <w:lvlJc w:val="left"/>
      <w:pPr>
        <w:ind w:left="720" w:hanging="360"/>
      </w:pPr>
      <w:rPr>
        <w:rFonts w:ascii="Calibri" w:eastAsia="SimSu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1907F8D"/>
    <w:multiLevelType w:val="hybridMultilevel"/>
    <w:tmpl w:val="3F9E01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1B19F6"/>
    <w:multiLevelType w:val="hybridMultilevel"/>
    <w:tmpl w:val="EDAC9C50"/>
    <w:lvl w:ilvl="0" w:tplc="DA78BFBA">
      <w:start w:val="2"/>
      <w:numFmt w:val="bullet"/>
      <w:lvlText w:val=""/>
      <w:lvlJc w:val="left"/>
      <w:pPr>
        <w:ind w:left="644" w:hanging="360"/>
      </w:pPr>
      <w:rPr>
        <w:rFonts w:ascii="Symbol" w:eastAsia="Times New Roman" w:hAnsi="Symbol"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7">
    <w:nsid w:val="4D7840C5"/>
    <w:multiLevelType w:val="hybridMultilevel"/>
    <w:tmpl w:val="C9DC7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41271"/>
    <w:multiLevelType w:val="hybridMultilevel"/>
    <w:tmpl w:val="545EECA0"/>
    <w:lvl w:ilvl="0" w:tplc="9E546AC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90177"/>
    <w:multiLevelType w:val="hybridMultilevel"/>
    <w:tmpl w:val="CB5E88EA"/>
    <w:lvl w:ilvl="0" w:tplc="9E546AC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6F7FD0"/>
    <w:multiLevelType w:val="hybridMultilevel"/>
    <w:tmpl w:val="3D6E05B4"/>
    <w:lvl w:ilvl="0" w:tplc="D62048C0">
      <w:start w:val="8"/>
      <w:numFmt w:val="decimal"/>
      <w:lvlText w:val="%1."/>
      <w:lvlJc w:val="left"/>
      <w:pPr>
        <w:tabs>
          <w:tab w:val="num" w:pos="360"/>
        </w:tabs>
        <w:ind w:left="360" w:hanging="360"/>
      </w:pPr>
      <w:rPr>
        <w:rFonts w:hint="default"/>
      </w:rPr>
    </w:lvl>
    <w:lvl w:ilvl="1" w:tplc="941ED1A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1625E88"/>
    <w:multiLevelType w:val="hybridMultilevel"/>
    <w:tmpl w:val="1AA23814"/>
    <w:lvl w:ilvl="0" w:tplc="E8DCC7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76464"/>
    <w:multiLevelType w:val="hybridMultilevel"/>
    <w:tmpl w:val="4566DA78"/>
    <w:lvl w:ilvl="0" w:tplc="A9001382">
      <w:start w:val="15"/>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3378C"/>
    <w:multiLevelType w:val="hybridMultilevel"/>
    <w:tmpl w:val="B0B813A0"/>
    <w:lvl w:ilvl="0" w:tplc="4288D786">
      <w:start w:val="15"/>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8126A"/>
    <w:multiLevelType w:val="hybridMultilevel"/>
    <w:tmpl w:val="0C325C6C"/>
    <w:lvl w:ilvl="0" w:tplc="9A5E7000">
      <w:start w:val="3"/>
      <w:numFmt w:val="decimal"/>
      <w:lvlText w:val="%1."/>
      <w:lvlJc w:val="left"/>
      <w:pPr>
        <w:tabs>
          <w:tab w:val="num" w:pos="360"/>
        </w:tabs>
        <w:ind w:left="360" w:hanging="360"/>
      </w:pPr>
      <w:rPr>
        <w:rFonts w:hint="default"/>
      </w:rPr>
    </w:lvl>
    <w:lvl w:ilvl="1" w:tplc="941ED1A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6D24CC7"/>
    <w:multiLevelType w:val="hybridMultilevel"/>
    <w:tmpl w:val="9D08C088"/>
    <w:lvl w:ilvl="0" w:tplc="09F8BE5E">
      <w:start w:val="7"/>
      <w:numFmt w:val="decimal"/>
      <w:lvlText w:val="%1."/>
      <w:lvlJc w:val="left"/>
      <w:pPr>
        <w:tabs>
          <w:tab w:val="num" w:pos="2061"/>
        </w:tabs>
        <w:ind w:left="2061" w:hanging="360"/>
      </w:pPr>
      <w:rPr>
        <w:rFonts w:hint="default"/>
      </w:rPr>
    </w:lvl>
    <w:lvl w:ilvl="1" w:tplc="941ED1A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A08137E"/>
    <w:multiLevelType w:val="hybridMultilevel"/>
    <w:tmpl w:val="E2EAD7AA"/>
    <w:lvl w:ilvl="0" w:tplc="14963288">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7">
    <w:nsid w:val="6B417E05"/>
    <w:multiLevelType w:val="hybridMultilevel"/>
    <w:tmpl w:val="29A0337E"/>
    <w:lvl w:ilvl="0" w:tplc="23A00640">
      <w:start w:val="1"/>
      <w:numFmt w:val="lowerLetter"/>
      <w:lvlText w:val="(%1)"/>
      <w:lvlJc w:val="left"/>
      <w:pPr>
        <w:ind w:left="720" w:hanging="360"/>
      </w:pPr>
      <w:rPr>
        <w:rFonts w:ascii="Arial" w:hAnsi="Arial" w:hint="default"/>
        <w:b/>
        <w:i w:val="0"/>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F2231"/>
    <w:multiLevelType w:val="hybridMultilevel"/>
    <w:tmpl w:val="7F067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28A5600"/>
    <w:multiLevelType w:val="hybridMultilevel"/>
    <w:tmpl w:val="A7329936"/>
    <w:lvl w:ilvl="0" w:tplc="7398FC1E">
      <w:start w:val="14"/>
      <w:numFmt w:val="decimal"/>
      <w:lvlText w:val="%1."/>
      <w:lvlJc w:val="left"/>
      <w:pPr>
        <w:tabs>
          <w:tab w:val="num" w:pos="1570"/>
        </w:tabs>
        <w:ind w:left="157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0">
    <w:nsid w:val="7D2C61D6"/>
    <w:multiLevelType w:val="hybridMultilevel"/>
    <w:tmpl w:val="3E06BB78"/>
    <w:lvl w:ilvl="0" w:tplc="0409000F">
      <w:start w:val="1"/>
      <w:numFmt w:val="decimal"/>
      <w:lvlText w:val="%1."/>
      <w:lvlJc w:val="left"/>
      <w:pPr>
        <w:tabs>
          <w:tab w:val="num" w:pos="360"/>
        </w:tabs>
        <w:ind w:left="360" w:hanging="360"/>
      </w:pPr>
      <w:rPr>
        <w:rFonts w:hint="default"/>
      </w:rPr>
    </w:lvl>
    <w:lvl w:ilvl="1" w:tplc="941ED1A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2"/>
  </w:num>
  <w:num w:numId="4">
    <w:abstractNumId w:val="38"/>
  </w:num>
  <w:num w:numId="5">
    <w:abstractNumId w:val="9"/>
  </w:num>
  <w:num w:numId="6">
    <w:abstractNumId w:val="14"/>
  </w:num>
  <w:num w:numId="7">
    <w:abstractNumId w:val="10"/>
    <w:lvlOverride w:ilvl="0"/>
    <w:lvlOverride w:ilvl="1"/>
    <w:lvlOverride w:ilvl="2"/>
    <w:lvlOverride w:ilvl="3"/>
    <w:lvlOverride w:ilvl="4"/>
    <w:lvlOverride w:ilvl="5"/>
    <w:lvlOverride w:ilvl="6"/>
    <w:lvlOverride w:ilvl="7"/>
    <w:lvlOverride w:ilvl="8"/>
  </w:num>
  <w:num w:numId="8">
    <w:abstractNumId w:val="25"/>
  </w:num>
  <w:num w:numId="9">
    <w:abstractNumId w:val="20"/>
  </w:num>
  <w:num w:numId="10">
    <w:abstractNumId w:val="22"/>
  </w:num>
  <w:num w:numId="11">
    <w:abstractNumId w:val="18"/>
  </w:num>
  <w:num w:numId="12">
    <w:abstractNumId w:val="36"/>
  </w:num>
  <w:num w:numId="13">
    <w:abstractNumId w:val="16"/>
  </w:num>
  <w:num w:numId="14">
    <w:abstractNumId w:val="15"/>
  </w:num>
  <w:num w:numId="15">
    <w:abstractNumId w:val="0"/>
  </w:num>
  <w:num w:numId="16">
    <w:abstractNumId w:val="4"/>
  </w:num>
  <w:num w:numId="17">
    <w:abstractNumId w:val="28"/>
  </w:num>
  <w:num w:numId="18">
    <w:abstractNumId w:val="29"/>
  </w:num>
  <w:num w:numId="19">
    <w:abstractNumId w:val="24"/>
  </w:num>
  <w:num w:numId="20">
    <w:abstractNumId w:val="5"/>
  </w:num>
  <w:num w:numId="21">
    <w:abstractNumId w:val="11"/>
  </w:num>
  <w:num w:numId="22">
    <w:abstractNumId w:val="27"/>
  </w:num>
  <w:num w:numId="23">
    <w:abstractNumId w:val="6"/>
  </w:num>
  <w:num w:numId="24">
    <w:abstractNumId w:val="1"/>
  </w:num>
  <w:num w:numId="25">
    <w:abstractNumId w:val="7"/>
  </w:num>
  <w:num w:numId="26">
    <w:abstractNumId w:val="35"/>
  </w:num>
  <w:num w:numId="27">
    <w:abstractNumId w:val="21"/>
  </w:num>
  <w:num w:numId="28">
    <w:abstractNumId w:val="2"/>
  </w:num>
  <w:num w:numId="29">
    <w:abstractNumId w:val="39"/>
  </w:num>
  <w:num w:numId="30">
    <w:abstractNumId w:val="30"/>
  </w:num>
  <w:num w:numId="31">
    <w:abstractNumId w:val="34"/>
  </w:num>
  <w:num w:numId="32">
    <w:abstractNumId w:val="40"/>
  </w:num>
  <w:num w:numId="33">
    <w:abstractNumId w:val="3"/>
  </w:num>
  <w:num w:numId="34">
    <w:abstractNumId w:val="31"/>
  </w:num>
  <w:num w:numId="35">
    <w:abstractNumId w:val="33"/>
  </w:num>
  <w:num w:numId="36">
    <w:abstractNumId w:val="32"/>
  </w:num>
  <w:num w:numId="37">
    <w:abstractNumId w:val="19"/>
  </w:num>
  <w:num w:numId="38">
    <w:abstractNumId w:val="13"/>
  </w:num>
  <w:num w:numId="39">
    <w:abstractNumId w:val="3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rules v:ext="edit">
        <o:r id="V:Rule1" type="connector" idref="#_x0000_s2061"/>
      </o:rules>
    </o:shapelayout>
  </w:hdrShapeDefaults>
  <w:footnotePr>
    <w:footnote w:id="0"/>
    <w:footnote w:id="1"/>
  </w:footnotePr>
  <w:endnotePr>
    <w:endnote w:id="0"/>
    <w:endnote w:id="1"/>
  </w:endnotePr>
  <w:compat/>
  <w:rsids>
    <w:rsidRoot w:val="00567290"/>
    <w:rsid w:val="0000297F"/>
    <w:rsid w:val="00094643"/>
    <w:rsid w:val="000C68BA"/>
    <w:rsid w:val="000E074F"/>
    <w:rsid w:val="00141B43"/>
    <w:rsid w:val="00142B23"/>
    <w:rsid w:val="00151B0F"/>
    <w:rsid w:val="00185495"/>
    <w:rsid w:val="00212D04"/>
    <w:rsid w:val="002923F6"/>
    <w:rsid w:val="002A28C9"/>
    <w:rsid w:val="002C1B13"/>
    <w:rsid w:val="002D3821"/>
    <w:rsid w:val="00302AAA"/>
    <w:rsid w:val="00366261"/>
    <w:rsid w:val="003D79B7"/>
    <w:rsid w:val="003E384C"/>
    <w:rsid w:val="005144D5"/>
    <w:rsid w:val="00574F6E"/>
    <w:rsid w:val="005C3D47"/>
    <w:rsid w:val="005C4E13"/>
    <w:rsid w:val="00602653"/>
    <w:rsid w:val="00625550"/>
    <w:rsid w:val="0064468A"/>
    <w:rsid w:val="00650EB4"/>
    <w:rsid w:val="00660263"/>
    <w:rsid w:val="0070001A"/>
    <w:rsid w:val="0071290E"/>
    <w:rsid w:val="007D2EB9"/>
    <w:rsid w:val="00847327"/>
    <w:rsid w:val="0084756C"/>
    <w:rsid w:val="00890CEE"/>
    <w:rsid w:val="008E1B88"/>
    <w:rsid w:val="008F4179"/>
    <w:rsid w:val="00913F49"/>
    <w:rsid w:val="00925D81"/>
    <w:rsid w:val="00930313"/>
    <w:rsid w:val="009520FD"/>
    <w:rsid w:val="009546B6"/>
    <w:rsid w:val="009D5476"/>
    <w:rsid w:val="009E57C0"/>
    <w:rsid w:val="00A134B5"/>
    <w:rsid w:val="00A147A6"/>
    <w:rsid w:val="00A24D00"/>
    <w:rsid w:val="00A34691"/>
    <w:rsid w:val="00A905B0"/>
    <w:rsid w:val="00AC4BB9"/>
    <w:rsid w:val="00AD42EA"/>
    <w:rsid w:val="00AD7EC6"/>
    <w:rsid w:val="00B44F40"/>
    <w:rsid w:val="00B626CF"/>
    <w:rsid w:val="00BC014B"/>
    <w:rsid w:val="00BC2088"/>
    <w:rsid w:val="00BE0009"/>
    <w:rsid w:val="00BF0C03"/>
    <w:rsid w:val="00BF60A9"/>
    <w:rsid w:val="00C366E1"/>
    <w:rsid w:val="00CF62C9"/>
    <w:rsid w:val="00D541D8"/>
    <w:rsid w:val="00D909A5"/>
    <w:rsid w:val="00D9799C"/>
    <w:rsid w:val="00DD6AE0"/>
    <w:rsid w:val="00E07C81"/>
    <w:rsid w:val="00E50C17"/>
    <w:rsid w:val="00E52484"/>
    <w:rsid w:val="00EE1EE4"/>
    <w:rsid w:val="00F22EEB"/>
    <w:rsid w:val="00F33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DRESSE">
    <w:name w:val="ADRESSE"/>
    <w:rsid w:val="00FD5266"/>
    <w:rPr>
      <w:rFonts w:ascii="CorporateS-Regular" w:hAnsi="CorporateS-Regular"/>
      <w:color w:val="BABABA"/>
      <w:w w:val="0"/>
      <w:position w:val="0"/>
      <w:sz w:val="14"/>
      <w:szCs w:val="14"/>
      <w:u w:val="none"/>
      <w:vertAlign w:val="baseline"/>
    </w:rPr>
  </w:style>
  <w:style w:type="paragraph" w:customStyle="1" w:styleId="Noparagraphstyle">
    <w:name w:val="[No paragraph style]"/>
    <w:rsid w:val="009B0B75"/>
    <w:pPr>
      <w:widowControl w:val="0"/>
      <w:autoSpaceDE w:val="0"/>
      <w:autoSpaceDN w:val="0"/>
      <w:adjustRightInd w:val="0"/>
      <w:spacing w:line="288" w:lineRule="auto"/>
      <w:textAlignment w:val="center"/>
    </w:pPr>
    <w:rPr>
      <w:rFonts w:ascii="Times-Roman" w:hAnsi="Times-Roman"/>
      <w:color w:val="000000"/>
      <w:sz w:val="24"/>
      <w:szCs w:val="24"/>
      <w:lang w:val="de-DE" w:eastAsia="de-DE"/>
    </w:rPr>
  </w:style>
  <w:style w:type="character" w:styleId="Hyperlink">
    <w:name w:val="Hyperlink"/>
    <w:uiPriority w:val="99"/>
    <w:unhideWhenUsed/>
    <w:rsid w:val="00847327"/>
    <w:rPr>
      <w:color w:val="0000FF"/>
      <w:u w:val="single"/>
    </w:rPr>
  </w:style>
  <w:style w:type="paragraph" w:styleId="Header">
    <w:name w:val="header"/>
    <w:basedOn w:val="Normal"/>
    <w:link w:val="HeaderChar"/>
    <w:uiPriority w:val="99"/>
    <w:unhideWhenUsed/>
    <w:rsid w:val="00847327"/>
    <w:pPr>
      <w:tabs>
        <w:tab w:val="center" w:pos="4536"/>
        <w:tab w:val="right" w:pos="9072"/>
      </w:tabs>
    </w:pPr>
  </w:style>
  <w:style w:type="character" w:customStyle="1" w:styleId="HeaderChar">
    <w:name w:val="Header Char"/>
    <w:link w:val="Header"/>
    <w:uiPriority w:val="99"/>
    <w:rsid w:val="00847327"/>
    <w:rPr>
      <w:sz w:val="24"/>
      <w:szCs w:val="24"/>
    </w:rPr>
  </w:style>
  <w:style w:type="paragraph" w:styleId="Footer">
    <w:name w:val="footer"/>
    <w:basedOn w:val="Normal"/>
    <w:link w:val="FooterChar"/>
    <w:uiPriority w:val="99"/>
    <w:unhideWhenUsed/>
    <w:rsid w:val="00847327"/>
    <w:pPr>
      <w:tabs>
        <w:tab w:val="center" w:pos="4536"/>
        <w:tab w:val="right" w:pos="9072"/>
      </w:tabs>
    </w:pPr>
  </w:style>
  <w:style w:type="character" w:customStyle="1" w:styleId="FooterChar">
    <w:name w:val="Footer Char"/>
    <w:link w:val="Footer"/>
    <w:uiPriority w:val="99"/>
    <w:rsid w:val="00847327"/>
    <w:rPr>
      <w:sz w:val="24"/>
      <w:szCs w:val="24"/>
    </w:rPr>
  </w:style>
  <w:style w:type="paragraph" w:styleId="BalloonText">
    <w:name w:val="Balloon Text"/>
    <w:basedOn w:val="Normal"/>
    <w:link w:val="BalloonTextChar"/>
    <w:uiPriority w:val="99"/>
    <w:semiHidden/>
    <w:unhideWhenUsed/>
    <w:rsid w:val="00847327"/>
    <w:rPr>
      <w:rFonts w:ascii="Tahoma" w:hAnsi="Tahoma" w:cs="Tahoma"/>
      <w:sz w:val="16"/>
      <w:szCs w:val="16"/>
    </w:rPr>
  </w:style>
  <w:style w:type="character" w:customStyle="1" w:styleId="BalloonTextChar">
    <w:name w:val="Balloon Text Char"/>
    <w:link w:val="BalloonText"/>
    <w:uiPriority w:val="99"/>
    <w:semiHidden/>
    <w:rsid w:val="00847327"/>
    <w:rPr>
      <w:rFonts w:ascii="Tahoma" w:hAnsi="Tahoma" w:cs="Tahoma"/>
      <w:sz w:val="16"/>
      <w:szCs w:val="16"/>
    </w:rPr>
  </w:style>
  <w:style w:type="paragraph" w:styleId="NormalWeb">
    <w:name w:val="Normal (Web)"/>
    <w:basedOn w:val="Normal"/>
    <w:uiPriority w:val="99"/>
    <w:semiHidden/>
    <w:unhideWhenUsed/>
    <w:rsid w:val="00142B23"/>
    <w:pPr>
      <w:spacing w:before="100" w:beforeAutospacing="1" w:after="100" w:afterAutospacing="1"/>
    </w:pPr>
  </w:style>
  <w:style w:type="paragraph" w:styleId="ListParagraph">
    <w:name w:val="List Paragraph"/>
    <w:basedOn w:val="Normal"/>
    <w:uiPriority w:val="34"/>
    <w:qFormat/>
    <w:rsid w:val="00BC014B"/>
    <w:pPr>
      <w:ind w:left="720"/>
      <w:contextualSpacing/>
    </w:pPr>
    <w:rPr>
      <w:rFonts w:ascii="Arial" w:hAnsi="Arial"/>
      <w:lang w:val="en-US"/>
    </w:rPr>
  </w:style>
  <w:style w:type="paragraph" w:customStyle="1" w:styleId="AODocTxt">
    <w:name w:val="AODocTxt"/>
    <w:basedOn w:val="Normal"/>
    <w:rsid w:val="005144D5"/>
    <w:pPr>
      <w:numPr>
        <w:numId w:val="40"/>
      </w:numPr>
      <w:spacing w:before="240" w:line="260" w:lineRule="atLeast"/>
      <w:jc w:val="both"/>
    </w:pPr>
    <w:rPr>
      <w:rFonts w:eastAsia="SimSun"/>
      <w:sz w:val="22"/>
      <w:szCs w:val="22"/>
      <w:lang w:val="en-GB" w:eastAsia="en-US"/>
    </w:rPr>
  </w:style>
  <w:style w:type="paragraph" w:customStyle="1" w:styleId="AODocTxtL1">
    <w:name w:val="AODocTxtL1"/>
    <w:basedOn w:val="AODocTxt"/>
    <w:rsid w:val="005144D5"/>
    <w:pPr>
      <w:numPr>
        <w:ilvl w:val="1"/>
      </w:numPr>
    </w:pPr>
  </w:style>
  <w:style w:type="paragraph" w:customStyle="1" w:styleId="AODocTxtL2">
    <w:name w:val="AODocTxtL2"/>
    <w:basedOn w:val="AODocTxt"/>
    <w:rsid w:val="005144D5"/>
    <w:pPr>
      <w:numPr>
        <w:ilvl w:val="2"/>
      </w:numPr>
    </w:pPr>
  </w:style>
  <w:style w:type="paragraph" w:customStyle="1" w:styleId="AODocTxtL3">
    <w:name w:val="AODocTxtL3"/>
    <w:basedOn w:val="AODocTxt"/>
    <w:rsid w:val="005144D5"/>
    <w:pPr>
      <w:numPr>
        <w:ilvl w:val="3"/>
      </w:numPr>
    </w:pPr>
  </w:style>
  <w:style w:type="paragraph" w:customStyle="1" w:styleId="AODocTxtL4">
    <w:name w:val="AODocTxtL4"/>
    <w:basedOn w:val="AODocTxt"/>
    <w:rsid w:val="005144D5"/>
    <w:pPr>
      <w:numPr>
        <w:ilvl w:val="4"/>
      </w:numPr>
    </w:pPr>
  </w:style>
  <w:style w:type="paragraph" w:customStyle="1" w:styleId="AODocTxtL5">
    <w:name w:val="AODocTxtL5"/>
    <w:basedOn w:val="AODocTxt"/>
    <w:rsid w:val="005144D5"/>
    <w:pPr>
      <w:numPr>
        <w:ilvl w:val="5"/>
      </w:numPr>
    </w:pPr>
  </w:style>
  <w:style w:type="paragraph" w:customStyle="1" w:styleId="AODocTxtL6">
    <w:name w:val="AODocTxtL6"/>
    <w:basedOn w:val="AODocTxt"/>
    <w:rsid w:val="005144D5"/>
    <w:pPr>
      <w:numPr>
        <w:ilvl w:val="6"/>
      </w:numPr>
    </w:pPr>
  </w:style>
  <w:style w:type="paragraph" w:customStyle="1" w:styleId="AODocTxtL7">
    <w:name w:val="AODocTxtL7"/>
    <w:basedOn w:val="AODocTxt"/>
    <w:rsid w:val="005144D5"/>
    <w:pPr>
      <w:numPr>
        <w:ilvl w:val="7"/>
      </w:numPr>
    </w:pPr>
  </w:style>
  <w:style w:type="paragraph" w:customStyle="1" w:styleId="AODocTxtL8">
    <w:name w:val="AODocTxtL8"/>
    <w:basedOn w:val="AODocTxt"/>
    <w:rsid w:val="005144D5"/>
    <w:pPr>
      <w:numPr>
        <w:ilvl w:val="8"/>
      </w:numPr>
    </w:pPr>
  </w:style>
</w:styles>
</file>

<file path=word/webSettings.xml><?xml version="1.0" encoding="utf-8"?>
<w:webSettings xmlns:r="http://schemas.openxmlformats.org/officeDocument/2006/relationships" xmlns:w="http://schemas.openxmlformats.org/wordprocessingml/2006/main">
  <w:divs>
    <w:div w:id="340816775">
      <w:bodyDiv w:val="1"/>
      <w:marLeft w:val="0"/>
      <w:marRight w:val="0"/>
      <w:marTop w:val="0"/>
      <w:marBottom w:val="0"/>
      <w:divBdr>
        <w:top w:val="none" w:sz="0" w:space="0" w:color="auto"/>
        <w:left w:val="none" w:sz="0" w:space="0" w:color="auto"/>
        <w:bottom w:val="none" w:sz="0" w:space="0" w:color="auto"/>
        <w:right w:val="none" w:sz="0" w:space="0" w:color="auto"/>
      </w:divBdr>
    </w:div>
    <w:div w:id="532614308">
      <w:bodyDiv w:val="1"/>
      <w:marLeft w:val="0"/>
      <w:marRight w:val="0"/>
      <w:marTop w:val="0"/>
      <w:marBottom w:val="0"/>
      <w:divBdr>
        <w:top w:val="none" w:sz="0" w:space="0" w:color="auto"/>
        <w:left w:val="none" w:sz="0" w:space="0" w:color="auto"/>
        <w:bottom w:val="none" w:sz="0" w:space="0" w:color="auto"/>
        <w:right w:val="none" w:sz="0" w:space="0" w:color="auto"/>
      </w:divBdr>
    </w:div>
    <w:div w:id="1190532276">
      <w:bodyDiv w:val="1"/>
      <w:marLeft w:val="0"/>
      <w:marRight w:val="0"/>
      <w:marTop w:val="0"/>
      <w:marBottom w:val="0"/>
      <w:divBdr>
        <w:top w:val="none" w:sz="0" w:space="0" w:color="auto"/>
        <w:left w:val="none" w:sz="0" w:space="0" w:color="auto"/>
        <w:bottom w:val="none" w:sz="0" w:space="0" w:color="auto"/>
        <w:right w:val="none" w:sz="0" w:space="0" w:color="auto"/>
      </w:divBdr>
    </w:div>
    <w:div w:id="1474912145">
      <w:bodyDiv w:val="1"/>
      <w:marLeft w:val="0"/>
      <w:marRight w:val="0"/>
      <w:marTop w:val="0"/>
      <w:marBottom w:val="0"/>
      <w:divBdr>
        <w:top w:val="none" w:sz="0" w:space="0" w:color="auto"/>
        <w:left w:val="none" w:sz="0" w:space="0" w:color="auto"/>
        <w:bottom w:val="none" w:sz="0" w:space="0" w:color="auto"/>
        <w:right w:val="none" w:sz="0" w:space="0" w:color="auto"/>
      </w:divBdr>
      <w:divsChild>
        <w:div w:id="370302211">
          <w:marLeft w:val="0"/>
          <w:marRight w:val="0"/>
          <w:marTop w:val="0"/>
          <w:marBottom w:val="0"/>
          <w:divBdr>
            <w:top w:val="none" w:sz="0" w:space="0" w:color="auto"/>
            <w:left w:val="none" w:sz="0" w:space="0" w:color="auto"/>
            <w:bottom w:val="none" w:sz="0" w:space="0" w:color="auto"/>
            <w:right w:val="none" w:sz="0" w:space="0" w:color="auto"/>
          </w:divBdr>
          <w:divsChild>
            <w:div w:id="1482115558">
              <w:marLeft w:val="0"/>
              <w:marRight w:val="0"/>
              <w:marTop w:val="150"/>
              <w:marBottom w:val="150"/>
              <w:divBdr>
                <w:top w:val="none" w:sz="0" w:space="0" w:color="auto"/>
                <w:left w:val="none" w:sz="0" w:space="0" w:color="auto"/>
                <w:bottom w:val="none" w:sz="0" w:space="0" w:color="auto"/>
                <w:right w:val="none" w:sz="0" w:space="0" w:color="auto"/>
              </w:divBdr>
              <w:divsChild>
                <w:div w:id="274559833">
                  <w:marLeft w:val="0"/>
                  <w:marRight w:val="0"/>
                  <w:marTop w:val="0"/>
                  <w:marBottom w:val="0"/>
                  <w:divBdr>
                    <w:top w:val="none" w:sz="0" w:space="0" w:color="auto"/>
                    <w:left w:val="none" w:sz="0" w:space="0" w:color="auto"/>
                    <w:bottom w:val="none" w:sz="0" w:space="0" w:color="auto"/>
                    <w:right w:val="none" w:sz="0" w:space="0" w:color="auto"/>
                  </w:divBdr>
                  <w:divsChild>
                    <w:div w:id="542133737">
                      <w:marLeft w:val="0"/>
                      <w:marRight w:val="0"/>
                      <w:marTop w:val="0"/>
                      <w:marBottom w:val="0"/>
                      <w:divBdr>
                        <w:top w:val="none" w:sz="0" w:space="0" w:color="auto"/>
                        <w:left w:val="none" w:sz="0" w:space="0" w:color="auto"/>
                        <w:bottom w:val="none" w:sz="0" w:space="0" w:color="auto"/>
                        <w:right w:val="none" w:sz="0" w:space="0" w:color="auto"/>
                      </w:divBdr>
                      <w:divsChild>
                        <w:div w:id="60759893">
                          <w:marLeft w:val="150"/>
                          <w:marRight w:val="150"/>
                          <w:marTop w:val="150"/>
                          <w:marBottom w:val="150"/>
                          <w:divBdr>
                            <w:top w:val="none" w:sz="0" w:space="0" w:color="auto"/>
                            <w:left w:val="none" w:sz="0" w:space="0" w:color="auto"/>
                            <w:bottom w:val="none" w:sz="0" w:space="0" w:color="auto"/>
                            <w:right w:val="none" w:sz="0" w:space="0" w:color="auto"/>
                          </w:divBdr>
                          <w:divsChild>
                            <w:div w:id="848249947">
                              <w:marLeft w:val="0"/>
                              <w:marRight w:val="0"/>
                              <w:marTop w:val="0"/>
                              <w:marBottom w:val="0"/>
                              <w:divBdr>
                                <w:top w:val="none" w:sz="0" w:space="0" w:color="auto"/>
                                <w:left w:val="none" w:sz="0" w:space="0" w:color="auto"/>
                                <w:bottom w:val="none" w:sz="0" w:space="0" w:color="auto"/>
                                <w:right w:val="none" w:sz="0" w:space="0" w:color="auto"/>
                              </w:divBdr>
                              <w:divsChild>
                                <w:div w:id="9767641">
                                  <w:marLeft w:val="0"/>
                                  <w:marRight w:val="0"/>
                                  <w:marTop w:val="0"/>
                                  <w:marBottom w:val="0"/>
                                  <w:divBdr>
                                    <w:top w:val="none" w:sz="0" w:space="0" w:color="auto"/>
                                    <w:left w:val="none" w:sz="0" w:space="0" w:color="auto"/>
                                    <w:bottom w:val="none" w:sz="0" w:space="0" w:color="auto"/>
                                    <w:right w:val="none" w:sz="0" w:space="0" w:color="auto"/>
                                  </w:divBdr>
                                  <w:divsChild>
                                    <w:div w:id="1975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mailto:secretariat@eusipa.org"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882F-775E-49CF-9B75-BF7E744A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8159</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9571</CharactersWithSpaces>
  <SharedDoc>false</SharedDoc>
  <HLinks>
    <vt:vector size="6" baseType="variant">
      <vt:variant>
        <vt:i4>5308520</vt:i4>
      </vt:variant>
      <vt:variant>
        <vt:i4>0</vt:i4>
      </vt:variant>
      <vt:variant>
        <vt:i4>0</vt:i4>
      </vt:variant>
      <vt:variant>
        <vt:i4>5</vt:i4>
      </vt:variant>
      <vt:variant>
        <vt:lpwstr>mailto:secretariat@eusipa.org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S</dc:creator>
  <cp:lastModifiedBy>Dell</cp:lastModifiedBy>
  <cp:revision>2</cp:revision>
  <cp:lastPrinted>2012-11-26T05:55:00Z</cp:lastPrinted>
  <dcterms:created xsi:type="dcterms:W3CDTF">2017-09-06T12:45:00Z</dcterms:created>
  <dcterms:modified xsi:type="dcterms:W3CDTF">2017-09-06T12:45:00Z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